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苏银理财启源现金1号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2018年08月30日</w:t>
      </w:r>
      <w:r>
        <w:rPr>
          <w:rFonts w:hint="eastAsia" w:ascii="楷体" w:hAnsi="楷体" w:eastAsia="楷体" w:cs="楷体"/>
        </w:rPr>
        <w:t>成立，于</w:t>
      </w:r>
      <w:r>
        <w:rPr>
          <w:rFonts w:hint="eastAsia" w:ascii="楷体" w:hAnsi="楷体" w:eastAsia="楷体" w:cs="楷体"/>
          <w:spacing w:val="-7"/>
        </w:rPr>
        <w:t>2018年08月30日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Z7003121000014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32,875,475,106.57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32,875,475,106.57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31000188000310268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default" w:ascii="楷体" w:hAnsi="楷体" w:eastAsia="楷体" w:cs="楷体"/>
                <w:sz w:val="24"/>
                <w:szCs w:val="24"/>
                <w:lang w:val="en-US" w:eastAsia="zh-CN"/>
              </w:rPr>
            </w:pPr>
            <w:r>
              <w:rPr>
                <w:rFonts w:hint="eastAsia" w:ascii="楷体" w:hAnsi="楷体" w:eastAsia="楷体" w:cs="楷体"/>
                <w:sz w:val="24"/>
                <w:szCs w:val="24"/>
              </w:rPr>
              <w:t>产品资产总值</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元）</w:t>
            </w:r>
          </w:p>
        </w:tc>
        <w:tc>
          <w:tcPr>
            <w:tcW w:w="3847" w:type="dxa"/>
          </w:tcPr>
          <w:p>
            <w:pPr>
              <w:pStyle w:val="25"/>
              <w:spacing w:before="81" w:line="180" w:lineRule="auto"/>
              <w:jc w:val="center"/>
              <w:rPr>
                <w:sz w:val="24"/>
                <w:szCs w:val="24"/>
              </w:rPr>
            </w:pPr>
            <w:r>
              <w:rPr>
                <w:rFonts w:hint="eastAsia"/>
                <w:spacing w:val="-1"/>
                <w:sz w:val="24"/>
                <w:szCs w:val="24"/>
              </w:rPr>
              <w:t>37,491,087,493.66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114.04%</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苏银理财启源现金1号DG3</w:t>
            </w:r>
          </w:p>
        </w:tc>
        <w:tc>
          <w:tcPr>
            <w:tcW w:w="1462" w:type="dxa"/>
          </w:tcPr>
          <w:p>
            <w:pPr>
              <w:jc w:val="left"/>
              <w:rPr>
                <w:rFonts w:ascii="楷体" w:hAnsi="楷体" w:eastAsia="楷体" w:cs="楷体"/>
                <w:sz w:val="22"/>
              </w:rPr>
            </w:pPr>
            <w:r>
              <w:rPr>
                <w:rFonts w:hint="eastAsia" w:ascii="楷体" w:hAnsi="楷体" w:eastAsia="楷体" w:cs="楷体"/>
                <w:sz w:val="22"/>
              </w:rPr>
              <w:t>0.4823</w:t>
            </w:r>
          </w:p>
        </w:tc>
        <w:tc>
          <w:tcPr>
            <w:tcW w:w="1712" w:type="dxa"/>
          </w:tcPr>
          <w:p>
            <w:pPr>
              <w:jc w:val="left"/>
              <w:rPr>
                <w:rFonts w:ascii="楷体" w:hAnsi="楷体" w:eastAsia="楷体" w:cs="楷体"/>
                <w:sz w:val="22"/>
              </w:rPr>
            </w:pPr>
            <w:r>
              <w:rPr>
                <w:rFonts w:hint="eastAsia" w:ascii="楷体" w:hAnsi="楷体" w:eastAsia="楷体" w:cs="楷体"/>
                <w:sz w:val="22"/>
              </w:rPr>
              <w:t>1.75%</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苏银理财启源现金1号K</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0.7928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苏银理财启源现金1号DG2</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0.4850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苏银理财启源现金1号WS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0.4001</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苏银理财启源现金1号F</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苏银理财启源现金1号X</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0.3973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苏银理财启源现金1号J</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0.3836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1.39%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0.3288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1.18%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苏银理财启源现金1号H</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苏银理财启源现金1号Q</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0.9322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3.46%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苏银理财启源现金1号（代发专享）</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0.4165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1.51%</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苏银理财启源现金1号E</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0.4220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1.53%</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苏银理财启源现金1号DG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0.4028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0.8078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苏银理财启源现金1号DG4</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81.03%</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18.97%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81.03%</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18.97%</w:t>
            </w:r>
          </w:p>
        </w:tc>
      </w:tr>
    </w:tbl>
    <w:p>
      <w:pPr>
        <w:pStyle w:val="2"/>
        <w:rPr>
          <w:rFonts w:ascii="楷体" w:hAnsi="楷体" w:cs="楷体"/>
        </w:rPr>
      </w:pPr>
    </w:p>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22农发06</w:t>
            </w:r>
          </w:p>
        </w:tc>
        <w:tc>
          <w:tcPr>
            <w:tcW w:w="1275" w:type="dxa"/>
            <w:vAlign w:val="center"/>
          </w:tcPr>
          <w:p>
            <w:pPr>
              <w:jc w:val="center"/>
              <w:rPr>
                <w:rFonts w:ascii="楷体" w:hAnsi="楷体" w:eastAsia="楷体" w:cs="楷体"/>
                <w:sz w:val="22"/>
              </w:rPr>
            </w:pPr>
            <w:r>
              <w:rPr>
                <w:rFonts w:hint="eastAsia" w:ascii="楷体" w:hAnsi="楷体" w:eastAsia="楷体" w:cs="楷体"/>
                <w:sz w:val="22"/>
              </w:rPr>
              <w:t>债券</w:t>
            </w:r>
          </w:p>
        </w:tc>
        <w:tc>
          <w:tcPr>
            <w:tcW w:w="2235" w:type="dxa"/>
            <w:vAlign w:val="center"/>
          </w:tcPr>
          <w:p>
            <w:pPr>
              <w:jc w:val="center"/>
              <w:rPr>
                <w:rFonts w:ascii="楷体" w:hAnsi="楷体" w:eastAsia="楷体" w:cs="楷体"/>
                <w:sz w:val="22"/>
              </w:rPr>
            </w:pPr>
            <w:r>
              <w:rPr>
                <w:rFonts w:hint="eastAsia" w:ascii="楷体" w:hAnsi="楷体" w:eastAsia="楷体" w:cs="楷体"/>
                <w:sz w:val="22"/>
              </w:rPr>
              <w:t>2,067,168,520.29</w:t>
            </w:r>
          </w:p>
        </w:tc>
        <w:tc>
          <w:tcPr>
            <w:tcW w:w="1800" w:type="dxa"/>
            <w:vAlign w:val="center"/>
          </w:tcPr>
          <w:p>
            <w:pPr>
              <w:jc w:val="center"/>
              <w:rPr>
                <w:rFonts w:ascii="楷体" w:hAnsi="楷体" w:eastAsia="楷体" w:cs="楷体"/>
                <w:sz w:val="22"/>
              </w:rPr>
            </w:pPr>
            <w:r>
              <w:rPr>
                <w:rFonts w:hint="eastAsia" w:ascii="楷体" w:hAnsi="楷体" w:eastAsia="楷体" w:cs="楷体"/>
                <w:sz w:val="22"/>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1,922,525,088.83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22农发12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1,834,178,573.38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22进出13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672,667,241.71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25农发21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600,011,456.80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25北京银行CD010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537,319,198.50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15国开18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517,023,556.72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8</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20240923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507,883,612.36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20240924</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507,583,332.40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default" w:eastAsia="宋体"/>
                <w:lang w:val="en-US" w:eastAsia="zh-CN"/>
              </w:rPr>
            </w:pPr>
            <w:r>
              <w:rPr>
                <w:rFonts w:hint="eastAsia" w:ascii="楷体" w:hAnsi="楷体" w:eastAsia="楷体" w:cs="楷体"/>
                <w:b w:val="0"/>
                <w:i w:val="0"/>
                <w:strike w:val="0"/>
                <w:color w:val="auto"/>
                <w:position w:val="-1"/>
                <w:sz w:val="22"/>
                <w:u w:val="none"/>
                <w:lang w:val="en-US" w:eastAsia="zh-CN"/>
              </w:rPr>
              <w:t>10</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20241226-5</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504,675,000.00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1.34%</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823" w:type="dxa"/>
        <w:tblInd w:w="0" w:type="dxa"/>
        <w:tblLayout w:type="fixed"/>
        <w:tblCellMar>
          <w:top w:w="0" w:type="dxa"/>
          <w:left w:w="108" w:type="dxa"/>
          <w:bottom w:w="0" w:type="dxa"/>
          <w:right w:w="108" w:type="dxa"/>
        </w:tblCellMar>
      </w:tblPr>
      <w:tblGrid>
        <w:gridCol w:w="1801"/>
        <w:gridCol w:w="1673"/>
        <w:gridCol w:w="1758"/>
        <w:gridCol w:w="1673"/>
        <w:gridCol w:w="1918"/>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江苏省国信集团有限公司</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042580317.IB</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25苏国信CP002</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1,000,000.00</w:t>
            </w:r>
          </w:p>
        </w:tc>
        <w:tc>
          <w:tcPr>
            <w:tcW w:w="191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100,000,000.00</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838" w:type="dxa"/>
        <w:tblInd w:w="0" w:type="dxa"/>
        <w:tblLayout w:type="fixed"/>
        <w:tblCellMar>
          <w:top w:w="0" w:type="dxa"/>
          <w:left w:w="108" w:type="dxa"/>
          <w:bottom w:w="0" w:type="dxa"/>
          <w:right w:w="108" w:type="dxa"/>
        </w:tblCellMar>
      </w:tblPr>
      <w:tblGrid>
        <w:gridCol w:w="1801"/>
        <w:gridCol w:w="1673"/>
        <w:gridCol w:w="1758"/>
        <w:gridCol w:w="1673"/>
        <w:gridCol w:w="1933"/>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江苏银行股份有限公司</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042580317.IB</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25苏国信CP002</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1,000,000.00</w:t>
            </w:r>
          </w:p>
        </w:tc>
        <w:tc>
          <w:tcPr>
            <w:tcW w:w="193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082580530.IB</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25华发优生活6ABN002优先</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w:t>
            </w:r>
          </w:p>
        </w:tc>
        <w:tc>
          <w:tcPr>
            <w:tcW w:w="193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838" w:type="dxa"/>
        <w:tblInd w:w="0" w:type="dxa"/>
        <w:tblLayout w:type="fixed"/>
        <w:tblCellMar>
          <w:top w:w="0" w:type="dxa"/>
          <w:left w:w="108" w:type="dxa"/>
          <w:bottom w:w="0" w:type="dxa"/>
          <w:right w:w="108" w:type="dxa"/>
        </w:tblCellMar>
      </w:tblPr>
      <w:tblGrid>
        <w:gridCol w:w="1801"/>
        <w:gridCol w:w="1673"/>
        <w:gridCol w:w="1758"/>
        <w:gridCol w:w="1673"/>
        <w:gridCol w:w="1933"/>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93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523"/>
        <w:gridCol w:w="3400"/>
        <w:gridCol w:w="2698"/>
      </w:tblGrid>
      <w:tr>
        <w:tblPrEx>
          <w:tblCellMar>
            <w:top w:w="0" w:type="dxa"/>
            <w:left w:w="108" w:type="dxa"/>
            <w:bottom w:w="0" w:type="dxa"/>
            <w:right w:w="108" w:type="dxa"/>
          </w:tblCellMar>
        </w:tblPrEx>
        <w:trPr>
          <w:trHeight w:val="283" w:hRule="atLeast"/>
        </w:trPr>
        <w:tc>
          <w:tcPr>
            <w:tcW w:w="25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4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52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4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1,761,920,156.00</w:t>
            </w:r>
          </w:p>
        </w:tc>
      </w:tr>
      <w:tr>
        <w:tblPrEx>
          <w:tblCellMar>
            <w:top w:w="0" w:type="dxa"/>
            <w:left w:w="108" w:type="dxa"/>
            <w:bottom w:w="0" w:type="dxa"/>
            <w:right w:w="108" w:type="dxa"/>
          </w:tblCellMar>
        </w:tblPrEx>
        <w:trPr>
          <w:trHeight w:val="283" w:hRule="atLeast"/>
        </w:trPr>
        <w:tc>
          <w:tcPr>
            <w:tcW w:w="252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40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7,077,692.22</w:t>
            </w:r>
          </w:p>
        </w:tc>
      </w:tr>
      <w:tr>
        <w:tblPrEx>
          <w:tblCellMar>
            <w:top w:w="0" w:type="dxa"/>
            <w:left w:w="108" w:type="dxa"/>
            <w:bottom w:w="0" w:type="dxa"/>
            <w:right w:w="108" w:type="dxa"/>
          </w:tblCellMar>
        </w:tblPrEx>
        <w:trPr>
          <w:trHeight w:val="283" w:hRule="atLeast"/>
        </w:trPr>
        <w:tc>
          <w:tcPr>
            <w:tcW w:w="252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40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1,725,625.34</w:t>
            </w:r>
          </w:p>
        </w:tc>
      </w:tr>
      <w:tr>
        <w:tblPrEx>
          <w:tblCellMar>
            <w:top w:w="0" w:type="dxa"/>
            <w:left w:w="108" w:type="dxa"/>
            <w:bottom w:w="0" w:type="dxa"/>
            <w:right w:w="108" w:type="dxa"/>
          </w:tblCellMar>
        </w:tblPrEx>
        <w:trPr>
          <w:trHeight w:val="283" w:hRule="atLeast"/>
        </w:trPr>
        <w:tc>
          <w:tcPr>
            <w:tcW w:w="252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40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356,000,000.00</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32,875,475,106.57</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36,194,484,529.22</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hint="eastAsia" w:ascii="楷体" w:hAnsi="楷体" w:eastAsia="楷体" w:cs="楷体"/>
          <w:sz w:val="21"/>
          <w:szCs w:val="21"/>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二季度，在央行降息落地及外需压力共同作用下，债市收益率普遍下行。管理人积极对照监管要求，严格管控现金管理类产品的信用风险、久期风险、集中度风险和流动性风险。在资产配置策略上选择以同业存单、利率债、回购和银行存款等低风险资产为主，增加存单和利率债投资比例。在收益率持续下行的过程中增加债券类资产持仓，同时储备了一波利率相对较高的长期存款类资产。相关资产的配置主要抓住资金面波动的点进行，兼顾资产类别和期限的总体均衡。此外，本产品采用较多的杠杆策略、交易策略以及货基增强策略，成功获取一定的超额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bookmarkStart w:id="1" w:name="_GoBack"/>
      <w:bookmarkEnd w:id="1"/>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hint="eastAsia"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A791225"/>
    <w:rsid w:val="3E9E1098"/>
    <w:rsid w:val="4AA171B8"/>
    <w:rsid w:val="60D36665"/>
    <w:rsid w:val="76F4014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9a5d95-67bf-4fb0-a558-42e0403b031d}">
  <ds:schemaRefs/>
</ds:datastoreItem>
</file>

<file path=customXml/itemProps3.xml><?xml version="1.0" encoding="utf-8"?>
<ds:datastoreItem xmlns:ds="http://schemas.openxmlformats.org/officeDocument/2006/customXml" ds:itemID="{a2237180-184a-49d4-8d87-3819e26c5f3f}">
  <ds:schemaRefs/>
</ds:datastoreItem>
</file>

<file path=customXml/itemProps4.xml><?xml version="1.0" encoding="utf-8"?>
<ds:datastoreItem xmlns:ds="http://schemas.openxmlformats.org/officeDocument/2006/customXml" ds:itemID="{f2d47a08-4558-4b82-b89a-62aded5e1d2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2025-07-16T09:00:23Z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69B8EDAF31CA47F3823043428386BA0B</vt:lpwstr>
  </property>
</Properties>
</file>