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sz w:val="36"/>
          <w:szCs w:val="36"/>
        </w:rPr>
        <w:t>“</w:t>
      </w:r>
      <w:r>
        <w:rPr>
          <w:rFonts w:hint="eastAsia" w:ascii="楷体" w:hAnsi="楷体" w:eastAsia="楷体" w:cs="楷体"/>
          <w:b/>
          <w:bCs/>
          <w:spacing w:val="-1"/>
          <w:sz w:val="36"/>
          <w:szCs w:val="36"/>
        </w:rPr>
        <w:t>苏银理财恒源6月定开4期</w:t>
      </w:r>
      <w:r>
        <w:rPr>
          <w:rFonts w:hint="eastAsia" w:ascii="楷体" w:hAnsi="楷体" w:eastAsia="楷体" w:cs="楷体"/>
          <w:b/>
          <w:sz w:val="36"/>
          <w:szCs w:val="36"/>
        </w:rPr>
        <w:t>”理财产品</w:t>
      </w:r>
    </w:p>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bCs/>
          <w:spacing w:val="4"/>
          <w:sz w:val="36"/>
          <w:szCs w:val="36"/>
        </w:rPr>
        <w:t>2025年二季度</w:t>
      </w:r>
      <w:r>
        <w:rPr>
          <w:rFonts w:hint="eastAsia" w:ascii="楷体" w:hAnsi="楷体" w:eastAsia="楷体" w:cs="楷体"/>
          <w:b/>
          <w:sz w:val="36"/>
          <w:szCs w:val="36"/>
        </w:rPr>
        <w:t>投资管理报告</w:t>
      </w:r>
    </w:p>
    <w:p>
      <w:pPr>
        <w:pStyle w:val="8"/>
        <w:spacing w:before="0" w:beforeAutospacing="0" w:after="0" w:afterAutospacing="0" w:line="360" w:lineRule="auto"/>
        <w:rPr>
          <w:rFonts w:hint="eastAsia" w:ascii="楷体" w:hAnsi="楷体" w:eastAsia="楷体" w:cs="楷体"/>
        </w:rPr>
      </w:pPr>
      <w:r>
        <w:rPr>
          <w:rFonts w:hint="eastAsia" w:ascii="楷体" w:hAnsi="楷体" w:eastAsia="楷体" w:cs="楷体"/>
        </w:rPr>
        <w:t>尊敬的投资者：</w:t>
      </w:r>
    </w:p>
    <w:p>
      <w:pPr>
        <w:pStyle w:val="8"/>
        <w:spacing w:before="0" w:beforeAutospacing="0" w:after="0" w:afterAutospacing="0" w:line="360" w:lineRule="auto"/>
        <w:ind w:firstLine="566" w:firstLineChars="236"/>
        <w:rPr>
          <w:rFonts w:hint="eastAsia" w:ascii="楷体" w:hAnsi="楷体" w:eastAsia="楷体" w:cs="楷体"/>
        </w:rPr>
      </w:pPr>
      <w:r>
        <w:rPr>
          <w:rFonts w:hint="eastAsia" w:ascii="楷体" w:hAnsi="楷体" w:eastAsia="楷体" w:cs="楷体"/>
        </w:rPr>
        <w:t>“</w:t>
      </w:r>
      <w:r>
        <w:rPr>
          <w:rFonts w:hint="eastAsia" w:ascii="楷体" w:hAnsi="楷体" w:eastAsia="楷体" w:cs="楷体"/>
          <w:spacing w:val="-7"/>
        </w:rPr>
        <w:t>苏银理财恒源6月定开4期</w:t>
      </w:r>
      <w:r>
        <w:rPr>
          <w:rFonts w:hint="eastAsia" w:ascii="楷体" w:hAnsi="楷体" w:eastAsia="楷体" w:cs="楷体"/>
        </w:rPr>
        <w:t>”理财产品于</w:t>
      </w:r>
      <w:r>
        <w:rPr>
          <w:rFonts w:hint="eastAsia" w:ascii="楷体" w:hAnsi="楷体" w:eastAsia="楷体" w:cs="楷体"/>
          <w:spacing w:val="-53"/>
        </w:rPr>
        <w:t xml:space="preserve"> </w:t>
      </w:r>
      <w:r>
        <w:rPr>
          <w:rFonts w:hint="eastAsia" w:ascii="楷体" w:hAnsi="楷体" w:eastAsia="楷体" w:cs="楷体"/>
          <w:spacing w:val="-7"/>
        </w:rPr>
        <w:t>2022年03月15日</w:t>
      </w:r>
      <w:r>
        <w:rPr>
          <w:rFonts w:hint="eastAsia" w:ascii="楷体" w:hAnsi="楷体" w:eastAsia="楷体" w:cs="楷体"/>
        </w:rPr>
        <w:t>成立，于</w:t>
      </w:r>
      <w:r>
        <w:rPr>
          <w:rFonts w:hint="eastAsia" w:ascii="楷体" w:hAnsi="楷体" w:eastAsia="楷体" w:cs="楷体"/>
          <w:spacing w:val="-7"/>
        </w:rPr>
        <w:t>2022年03月15日</w:t>
      </w:r>
      <w:r>
        <w:rPr>
          <w:rFonts w:hint="eastAsia" w:ascii="楷体" w:hAnsi="楷体" w:eastAsia="楷体" w:cs="楷体"/>
        </w:rPr>
        <w:t>正式投资运作。</w:t>
      </w:r>
    </w:p>
    <w:p>
      <w:pPr>
        <w:pStyle w:val="8"/>
        <w:spacing w:before="0" w:beforeAutospacing="0" w:after="0" w:afterAutospacing="0" w:line="360" w:lineRule="auto"/>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一</w:t>
      </w:r>
      <w:bookmarkStart w:id="0" w:name="_Toc535504139"/>
      <w:r>
        <w:rPr>
          <w:rFonts w:hint="eastAsia" w:ascii="楷体" w:hAnsi="楷体" w:eastAsia="楷体" w:cs="楷体"/>
        </w:rPr>
        <w:t>、产品基本情况</w:t>
      </w:r>
      <w:bookmarkEnd w:id="0"/>
    </w:p>
    <w:tbl>
      <w:tblPr>
        <w:tblStyle w:val="9"/>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74"/>
        <w:gridCol w:w="3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产品名称</w:t>
            </w:r>
          </w:p>
        </w:tc>
        <w:tc>
          <w:tcPr>
            <w:tcW w:w="3847" w:type="dxa"/>
          </w:tcPr>
          <w:p>
            <w:pPr>
              <w:pStyle w:val="25"/>
              <w:spacing w:before="56" w:line="202" w:lineRule="auto"/>
              <w:jc w:val="center"/>
              <w:rPr>
                <w:rFonts w:hint="eastAsia" w:ascii="楷体" w:hAnsi="楷体" w:eastAsia="楷体" w:cs="楷体"/>
                <w:sz w:val="24"/>
                <w:szCs w:val="24"/>
                <w:highlight w:val="yellow"/>
              </w:rPr>
            </w:pPr>
            <w:r>
              <w:rPr>
                <w:rFonts w:hint="eastAsia" w:ascii="楷体" w:hAnsi="楷体" w:eastAsia="楷体" w:cs="楷体"/>
                <w:spacing w:val="-6"/>
                <w:sz w:val="24"/>
                <w:szCs w:val="24"/>
              </w:rPr>
              <w:t>苏银理财恒源6月定开4期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全国银行业理财信息登记系统登记编码</w:t>
            </w:r>
          </w:p>
        </w:tc>
        <w:tc>
          <w:tcPr>
            <w:tcW w:w="3847" w:type="dxa"/>
          </w:tcPr>
          <w:p>
            <w:pPr>
              <w:pStyle w:val="25"/>
              <w:spacing w:before="85" w:line="176"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Z7003122000026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产品运作方式</w:t>
            </w:r>
          </w:p>
        </w:tc>
        <w:tc>
          <w:tcPr>
            <w:tcW w:w="3847" w:type="dxa"/>
          </w:tcPr>
          <w:p>
            <w:pPr>
              <w:pStyle w:val="25"/>
              <w:spacing w:before="52" w:line="201" w:lineRule="auto"/>
              <w:jc w:val="center"/>
              <w:rPr>
                <w:rFonts w:hint="eastAsia" w:ascii="楷体" w:hAnsi="楷体" w:eastAsia="楷体" w:cs="楷体"/>
                <w:sz w:val="24"/>
                <w:szCs w:val="24"/>
                <w:highlight w:val="yellow"/>
              </w:rPr>
            </w:pPr>
            <w:r>
              <w:rPr>
                <w:rFonts w:hint="eastAsia" w:ascii="楷体" w:hAnsi="楷体" w:eastAsia="楷体" w:cs="楷体"/>
                <w:spacing w:val="-2"/>
                <w:sz w:val="24"/>
                <w:szCs w:val="24"/>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报告期末产品存续份额（份）</w:t>
            </w:r>
          </w:p>
        </w:tc>
        <w:tc>
          <w:tcPr>
            <w:tcW w:w="3847" w:type="dxa"/>
          </w:tcPr>
          <w:p>
            <w:pPr>
              <w:pStyle w:val="25"/>
              <w:spacing w:before="87" w:line="174"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569,176,461.56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产品资产净值（元）</w:t>
            </w:r>
          </w:p>
        </w:tc>
        <w:tc>
          <w:tcPr>
            <w:tcW w:w="3847" w:type="dxa"/>
          </w:tcPr>
          <w:p>
            <w:pPr>
              <w:pStyle w:val="25"/>
              <w:spacing w:before="78" w:line="182"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572,795,735.83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风险收益特征</w:t>
            </w:r>
          </w:p>
        </w:tc>
        <w:tc>
          <w:tcPr>
            <w:tcW w:w="3847" w:type="dxa"/>
          </w:tcPr>
          <w:p>
            <w:pPr>
              <w:pStyle w:val="25"/>
              <w:spacing w:before="54" w:line="200" w:lineRule="auto"/>
              <w:jc w:val="center"/>
              <w:rPr>
                <w:rFonts w:hint="eastAsia" w:ascii="楷体" w:hAnsi="楷体" w:eastAsia="楷体" w:cs="楷体"/>
                <w:sz w:val="24"/>
                <w:szCs w:val="24"/>
                <w:highlight w:val="yellow"/>
              </w:rPr>
            </w:pPr>
            <w:r>
              <w:rPr>
                <w:rFonts w:hint="eastAsia" w:ascii="楷体" w:hAnsi="楷体" w:eastAsia="楷体" w:cs="楷体"/>
                <w:spacing w:val="-8"/>
                <w:sz w:val="24"/>
                <w:szCs w:val="24"/>
              </w:rPr>
              <w:t>中低风险型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收益类型</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9"/>
                <w:sz w:val="24"/>
                <w:szCs w:val="24"/>
              </w:rPr>
              <w:t>固定收益类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管理人</w:t>
            </w:r>
          </w:p>
        </w:tc>
        <w:tc>
          <w:tcPr>
            <w:tcW w:w="3847" w:type="dxa"/>
          </w:tcPr>
          <w:p>
            <w:pPr>
              <w:pStyle w:val="25"/>
              <w:spacing w:before="55" w:line="200"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苏银理财有限责任公司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托管人</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江苏银行股份有限公司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w:t>
            </w:r>
          </w:p>
        </w:tc>
        <w:tc>
          <w:tcPr>
            <w:tcW w:w="3847" w:type="dxa"/>
          </w:tcPr>
          <w:p>
            <w:pPr>
              <w:pStyle w:val="25"/>
              <w:spacing w:before="90" w:line="173"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31000188000476602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托管账户开户行</w:t>
            </w:r>
          </w:p>
        </w:tc>
        <w:tc>
          <w:tcPr>
            <w:tcW w:w="3847" w:type="dxa"/>
          </w:tcPr>
          <w:p>
            <w:pPr>
              <w:pStyle w:val="25"/>
              <w:spacing w:before="56" w:line="199" w:lineRule="auto"/>
              <w:jc w:val="center"/>
              <w:rPr>
                <w:rFonts w:hint="eastAsia" w:ascii="楷体" w:hAnsi="楷体" w:eastAsia="楷体" w:cs="楷体"/>
                <w:sz w:val="24"/>
                <w:szCs w:val="24"/>
              </w:rPr>
            </w:pPr>
            <w:r>
              <w:rPr>
                <w:rFonts w:hint="eastAsia" w:ascii="楷体" w:hAnsi="楷体" w:eastAsia="楷体" w:cs="楷体"/>
                <w:spacing w:val="-2"/>
                <w:sz w:val="24"/>
                <w:szCs w:val="24"/>
              </w:rPr>
              <w:t>江苏银行股份有限公司营业部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产品资产总值（元）</w:t>
            </w:r>
          </w:p>
        </w:tc>
        <w:tc>
          <w:tcPr>
            <w:tcW w:w="3847" w:type="dxa"/>
          </w:tcPr>
          <w:p>
            <w:pPr>
              <w:pStyle w:val="25"/>
              <w:spacing w:before="81" w:line="180" w:lineRule="auto"/>
              <w:jc w:val="center"/>
              <w:rPr>
                <w:rFonts w:hint="eastAsia" w:ascii="楷体" w:hAnsi="楷体" w:eastAsia="楷体" w:cs="楷体"/>
                <w:sz w:val="24"/>
                <w:szCs w:val="24"/>
              </w:rPr>
            </w:pPr>
            <w:r>
              <w:rPr>
                <w:rFonts w:hint="eastAsia" w:ascii="楷体" w:hAnsi="楷体" w:eastAsia="楷体" w:cs="楷体"/>
                <w:spacing w:val="-1"/>
                <w:sz w:val="24"/>
                <w:szCs w:val="24"/>
              </w:rPr>
              <w:t>573,479,558.98</w:t>
            </w:r>
            <w:r>
              <w:rPr>
                <w:rFonts w:hint="eastAsia" w:ascii="楷体" w:hAnsi="楷体" w:eastAsia="楷体" w:cs="楷体"/>
                <w:spacing w:val="-29"/>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杠杆水平</w:t>
            </w:r>
          </w:p>
        </w:tc>
        <w:tc>
          <w:tcPr>
            <w:tcW w:w="3847" w:type="dxa"/>
          </w:tcPr>
          <w:p>
            <w:pPr>
              <w:pStyle w:val="25"/>
              <w:spacing w:before="56" w:line="202" w:lineRule="auto"/>
              <w:jc w:val="center"/>
              <w:rPr>
                <w:rFonts w:hint="eastAsia" w:ascii="楷体" w:hAnsi="楷体" w:eastAsia="楷体" w:cs="楷体"/>
                <w:sz w:val="24"/>
                <w:szCs w:val="24"/>
              </w:rPr>
            </w:pPr>
            <w:r>
              <w:rPr>
                <w:rFonts w:hint="eastAsia" w:ascii="楷体" w:hAnsi="楷体" w:eastAsia="楷体" w:cs="楷体"/>
                <w:spacing w:val="-4"/>
                <w:sz w:val="24"/>
                <w:szCs w:val="24"/>
              </w:rPr>
              <w:t>100.12%</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二、产品净值与业绩比较基准</w:t>
      </w:r>
    </w:p>
    <w:tbl>
      <w:tblPr>
        <w:tblStyle w:val="10"/>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0"/>
        <w:gridCol w:w="2100"/>
        <w:gridCol w:w="1470"/>
        <w:gridCol w:w="1665"/>
        <w:gridCol w:w="1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spacing w:line="320" w:lineRule="exact"/>
              <w:jc w:val="center"/>
              <w:rPr>
                <w:rFonts w:hint="eastAsia" w:ascii="楷体" w:hAnsi="楷体" w:eastAsia="楷体" w:cs="楷体"/>
              </w:rPr>
            </w:pPr>
            <w:r>
              <w:rPr>
                <w:rFonts w:hint="eastAsia" w:ascii="楷体" w:hAnsi="楷体" w:eastAsia="楷体" w:cs="楷体"/>
                <w:sz w:val="24"/>
                <w:szCs w:val="24"/>
              </w:rPr>
              <w:t>报告日期</w:t>
            </w:r>
          </w:p>
        </w:tc>
        <w:tc>
          <w:tcPr>
            <w:tcW w:w="2100" w:type="dxa"/>
          </w:tcPr>
          <w:p>
            <w:pPr>
              <w:spacing w:line="320" w:lineRule="exact"/>
              <w:jc w:val="center"/>
              <w:rPr>
                <w:rFonts w:hint="eastAsia" w:ascii="楷体" w:hAnsi="楷体" w:eastAsia="楷体" w:cs="楷体"/>
              </w:rPr>
            </w:pPr>
            <w:r>
              <w:rPr>
                <w:rFonts w:hint="eastAsia" w:ascii="楷体" w:hAnsi="楷体" w:eastAsia="楷体" w:cs="楷体"/>
                <w:sz w:val="24"/>
                <w:szCs w:val="24"/>
              </w:rPr>
              <w:t>销售</w:t>
            </w:r>
            <w:r>
              <w:rPr>
                <w:rFonts w:hint="eastAsia" w:ascii="楷体" w:hAnsi="楷体" w:eastAsia="楷体" w:cs="楷体"/>
                <w:sz w:val="24"/>
                <w:szCs w:val="24"/>
                <w:lang w:eastAsia="zh-CN"/>
              </w:rPr>
              <w:t>名</w:t>
            </w:r>
            <w:r>
              <w:rPr>
                <w:rFonts w:hint="eastAsia" w:ascii="楷体" w:hAnsi="楷体" w:eastAsia="楷体" w:cs="楷体"/>
                <w:sz w:val="24"/>
                <w:szCs w:val="24"/>
              </w:rPr>
              <w:t>称</w:t>
            </w:r>
          </w:p>
        </w:tc>
        <w:tc>
          <w:tcPr>
            <w:tcW w:w="1470" w:type="dxa"/>
          </w:tcPr>
          <w:p>
            <w:pPr>
              <w:jc w:val="center"/>
              <w:rPr>
                <w:rFonts w:hint="eastAsia" w:ascii="楷体" w:hAnsi="楷体" w:eastAsia="楷体" w:cs="楷体"/>
              </w:rPr>
            </w:pPr>
            <w:r>
              <w:rPr>
                <w:rFonts w:hint="eastAsia" w:ascii="楷体" w:hAnsi="楷体" w:eastAsia="楷体" w:cs="楷体"/>
                <w:sz w:val="24"/>
                <w:szCs w:val="24"/>
              </w:rPr>
              <w:t>单位净值</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累计单位净值</w:t>
            </w:r>
          </w:p>
        </w:tc>
        <w:tc>
          <w:tcPr>
            <w:tcW w:w="1876" w:type="dxa"/>
          </w:tcPr>
          <w:p>
            <w:pPr>
              <w:jc w:val="center"/>
              <w:rPr>
                <w:rFonts w:hint="eastAsia" w:ascii="楷体" w:hAnsi="楷体" w:eastAsia="楷体" w:cs="楷体"/>
              </w:rPr>
            </w:pPr>
            <w:r>
              <w:rPr>
                <w:rFonts w:hint="eastAsia" w:ascii="楷体" w:hAnsi="楷体" w:eastAsia="楷体" w:cs="楷体"/>
                <w:sz w:val="24"/>
                <w:szCs w:val="24"/>
              </w:rPr>
              <w:t>业绩比较基准（年化）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jc w:val="center"/>
              <w:rPr>
                <w:rFonts w:hint="eastAsia" w:ascii="楷体" w:hAnsi="楷体" w:eastAsia="楷体" w:cs="楷体"/>
                <w:sz w:val="24"/>
                <w:szCs w:val="24"/>
              </w:rPr>
            </w:pPr>
            <w:r>
              <w:rPr>
                <w:rFonts w:hint="eastAsia" w:ascii="楷体" w:hAnsi="楷体" w:eastAsia="楷体" w:cs="楷体"/>
                <w:sz w:val="24"/>
                <w:szCs w:val="24"/>
              </w:rPr>
              <w:t>2025-06-30</w:t>
            </w:r>
          </w:p>
        </w:tc>
        <w:tc>
          <w:tcPr>
            <w:tcW w:w="2100" w:type="dxa"/>
          </w:tcPr>
          <w:p>
            <w:pPr>
              <w:jc w:val="center"/>
              <w:rPr>
                <w:rFonts w:hint="eastAsia" w:ascii="楷体" w:hAnsi="楷体" w:eastAsia="楷体" w:cs="楷体"/>
                <w:sz w:val="24"/>
                <w:szCs w:val="24"/>
              </w:rPr>
            </w:pPr>
            <w:r>
              <w:rPr>
                <w:rFonts w:hint="eastAsia" w:ascii="楷体" w:hAnsi="楷体" w:eastAsia="楷体" w:cs="楷体"/>
                <w:sz w:val="24"/>
                <w:szCs w:val="24"/>
              </w:rPr>
              <w:t>苏银理财恒源6月定开4期F</w:t>
            </w:r>
          </w:p>
        </w:tc>
        <w:tc>
          <w:tcPr>
            <w:tcW w:w="1470" w:type="dxa"/>
          </w:tcPr>
          <w:p>
            <w:pPr>
              <w:jc w:val="center"/>
              <w:rPr>
                <w:rFonts w:hint="eastAsia" w:ascii="楷体" w:hAnsi="楷体" w:eastAsia="楷体" w:cs="楷体"/>
                <w:sz w:val="24"/>
                <w:szCs w:val="24"/>
              </w:rPr>
            </w:pPr>
            <w:r>
              <w:rPr>
                <w:rFonts w:hint="eastAsia" w:ascii="楷体" w:hAnsi="楷体" w:eastAsia="楷体" w:cs="楷体"/>
                <w:sz w:val="24"/>
                <w:szCs w:val="24"/>
              </w:rPr>
              <w:t>1.006271</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1.087651</w:t>
            </w:r>
          </w:p>
        </w:tc>
        <w:tc>
          <w:tcPr>
            <w:tcW w:w="1876" w:type="dxa"/>
          </w:tcPr>
          <w:p>
            <w:pPr>
              <w:jc w:val="center"/>
              <w:rPr>
                <w:rFonts w:hint="eastAsia" w:ascii="楷体" w:hAnsi="楷体" w:eastAsia="楷体" w:cs="楷体"/>
                <w:sz w:val="24"/>
                <w:szCs w:val="24"/>
              </w:rPr>
            </w:pPr>
            <w:r>
              <w:rPr>
                <w:rFonts w:hint="eastAsia" w:ascii="楷体" w:hAnsi="楷体" w:eastAsia="楷体" w:cs="楷体"/>
                <w:sz w:val="24"/>
                <w:szCs w:val="24"/>
              </w:rPr>
              <w:t>2.30%-3.10%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苏银理财恒源6月定开4期G</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1.00646</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1.055836</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2.40%-3.20%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苏银理财恒源6月定开4期A</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1.006272</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1.111433</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2.30%-3.10%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苏银理财恒源6月定开4期C</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1.006461</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1.114715</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2.40%-3.20%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苏银理财恒源6月定开4期D</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1.006555</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1.114738</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2.45%-3.25%</w:t>
            </w:r>
          </w:p>
        </w:tc>
      </w:tr>
    </w:tbl>
    <w:p>
      <w:pPr>
        <w:rPr>
          <w:rFonts w:hint="eastAsia" w:ascii="楷体" w:hAnsi="楷体" w:eastAsia="楷体" w:cs="楷体"/>
        </w:rPr>
      </w:pPr>
    </w:p>
    <w:p>
      <w:pPr>
        <w:rPr>
          <w:rFonts w:hint="eastAsia" w:ascii="楷体" w:hAnsi="楷体" w:eastAsia="楷体" w:cs="楷体"/>
          <w:sz w:val="21"/>
          <w:szCs w:val="21"/>
        </w:rPr>
      </w:pPr>
      <w:r>
        <w:rPr>
          <w:rFonts w:hint="eastAsia" w:ascii="楷体" w:hAnsi="楷体" w:eastAsia="楷体" w:cs="楷体"/>
          <w:bCs/>
          <w:kern w:val="0"/>
          <w:sz w:val="21"/>
          <w:szCs w:val="21"/>
        </w:rPr>
        <w:t>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三、产品投资组合情况</w:t>
      </w:r>
    </w:p>
    <w:p>
      <w:pPr>
        <w:pStyle w:val="2"/>
        <w:rPr>
          <w:rFonts w:hint="eastAsia" w:ascii="楷体" w:hAnsi="楷体" w:eastAsia="楷体" w:cs="楷体"/>
          <w:b w:val="0"/>
          <w:sz w:val="21"/>
        </w:rPr>
      </w:pPr>
      <w:r>
        <w:rPr>
          <w:rFonts w:hint="eastAsia" w:ascii="楷体" w:hAnsi="楷体" w:eastAsia="楷体" w:cs="楷体"/>
          <w:b w:val="0"/>
          <w:sz w:val="21"/>
        </w:rPr>
        <w:t>（一）期末理财产品持有资产情况</w:t>
      </w:r>
    </w:p>
    <w:tbl>
      <w:tblPr>
        <w:tblStyle w:val="9"/>
        <w:tblW w:w="8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7"/>
        <w:gridCol w:w="2413"/>
        <w:gridCol w:w="2610"/>
        <w:gridCol w:w="2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序号</w:t>
            </w:r>
          </w:p>
        </w:tc>
        <w:tc>
          <w:tcPr>
            <w:tcW w:w="2413"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资产类别</w:t>
            </w:r>
          </w:p>
        </w:tc>
        <w:tc>
          <w:tcPr>
            <w:tcW w:w="2610" w:type="dxa"/>
            <w:vAlign w:val="center"/>
          </w:tcPr>
          <w:p>
            <w:pPr>
              <w:spacing w:line="320" w:lineRule="exact"/>
              <w:rPr>
                <w:rFonts w:hint="eastAsia" w:ascii="楷体" w:hAnsi="楷体" w:eastAsia="楷体" w:cs="楷体"/>
                <w:sz w:val="21"/>
                <w:szCs w:val="21"/>
              </w:rPr>
            </w:pPr>
            <w:r>
              <w:rPr>
                <w:rFonts w:hint="eastAsia" w:ascii="楷体" w:hAnsi="楷体" w:eastAsia="楷体" w:cs="楷体"/>
                <w:sz w:val="21"/>
                <w:szCs w:val="21"/>
              </w:rPr>
              <w:t>直接投资占总资产的比例</w:t>
            </w:r>
          </w:p>
        </w:tc>
        <w:tc>
          <w:tcPr>
            <w:tcW w:w="2550"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间接投资占总资产的比例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1</w:t>
            </w:r>
          </w:p>
        </w:tc>
        <w:tc>
          <w:tcPr>
            <w:tcW w:w="2413"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固定收益类</w:t>
            </w:r>
          </w:p>
        </w:tc>
        <w:tc>
          <w:tcPr>
            <w:tcW w:w="261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15.61%</w:t>
            </w:r>
          </w:p>
        </w:tc>
        <w:tc>
          <w:tcPr>
            <w:tcW w:w="255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84.39%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2</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权益类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3</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商品及金融衍生品类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4</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混合类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3140" w:type="dxa"/>
            <w:gridSpan w:val="2"/>
            <w:shd w:val="clear" w:color="auto" w:fill="auto"/>
            <w:vAlign w:val="center"/>
          </w:tcPr>
          <w:p>
            <w:pPr>
              <w:tabs>
                <w:tab w:val="center" w:pos="1522"/>
                <w:tab w:val="right" w:pos="2924"/>
              </w:tabs>
              <w:jc w:val="left"/>
              <w:rPr>
                <w:rFonts w:hint="eastAsia" w:ascii="楷体" w:hAnsi="楷体" w:eastAsia="楷体" w:cs="楷体"/>
                <w:sz w:val="24"/>
                <w:szCs w:val="24"/>
                <w:lang w:eastAsia="zh-CN"/>
              </w:rPr>
            </w:pPr>
            <w:r>
              <w:rPr>
                <w:rFonts w:hint="eastAsia" w:ascii="楷体" w:hAnsi="楷体" w:eastAsia="楷体" w:cs="楷体"/>
                <w:sz w:val="24"/>
                <w:szCs w:val="24"/>
                <w:lang w:eastAsia="zh-CN"/>
              </w:rPr>
              <w:tab/>
            </w:r>
            <w:r>
              <w:rPr>
                <w:rFonts w:hint="eastAsia" w:ascii="楷体" w:hAnsi="楷体" w:eastAsia="楷体" w:cs="楷体"/>
                <w:sz w:val="24"/>
                <w:szCs w:val="24"/>
              </w:rPr>
              <w:t>合计</w:t>
            </w:r>
            <w:r>
              <w:rPr>
                <w:rFonts w:hint="eastAsia" w:ascii="楷体" w:hAnsi="楷体" w:eastAsia="楷体" w:cs="楷体"/>
                <w:sz w:val="24"/>
                <w:szCs w:val="24"/>
                <w:lang w:eastAsia="zh-CN"/>
              </w:rPr>
              <w:tab/>
            </w:r>
          </w:p>
        </w:tc>
        <w:tc>
          <w:tcPr>
            <w:tcW w:w="2610" w:type="dxa"/>
            <w:shd w:val="clear" w:color="auto" w:fill="auto"/>
            <w:vAlign w:val="center"/>
          </w:tcPr>
          <w:p>
            <w:pPr>
              <w:jc w:val="center"/>
              <w:rPr>
                <w:rFonts w:hint="eastAsia" w:ascii="楷体" w:hAnsi="楷体" w:eastAsia="楷体" w:cs="楷体"/>
                <w:sz w:val="24"/>
                <w:szCs w:val="24"/>
              </w:rPr>
            </w:pPr>
            <w:r>
              <w:rPr>
                <w:rFonts w:hint="eastAsia" w:ascii="楷体" w:hAnsi="楷体" w:eastAsia="楷体" w:cs="楷体"/>
                <w:sz w:val="24"/>
                <w:szCs w:val="24"/>
              </w:rPr>
              <w:t>15.61%</w:t>
            </w:r>
          </w:p>
        </w:tc>
        <w:tc>
          <w:tcPr>
            <w:tcW w:w="2550" w:type="dxa"/>
            <w:shd w:val="clear" w:color="auto" w:fill="FFFFFF"/>
            <w:vAlign w:val="center"/>
          </w:tcPr>
          <w:p>
            <w:pPr>
              <w:jc w:val="center"/>
              <w:rPr>
                <w:rFonts w:hint="eastAsia" w:ascii="楷体" w:hAnsi="楷体" w:eastAsia="楷体" w:cs="楷体"/>
                <w:sz w:val="24"/>
                <w:szCs w:val="24"/>
              </w:rPr>
            </w:pPr>
            <w:r>
              <w:rPr>
                <w:rFonts w:hint="eastAsia" w:ascii="楷体" w:hAnsi="楷体" w:eastAsia="楷体" w:cs="楷体"/>
                <w:sz w:val="24"/>
                <w:szCs w:val="24"/>
              </w:rPr>
              <w:t>84.39%</w:t>
            </w:r>
          </w:p>
        </w:tc>
      </w:tr>
    </w:tbl>
    <w:p>
      <w:pPr>
        <w:rPr>
          <w:rFonts w:hint="eastAsia" w:ascii="楷体" w:hAnsi="楷体" w:eastAsia="楷体" w:cs="楷体"/>
        </w:rPr>
      </w:pPr>
    </w:p>
    <w:p>
      <w:pPr>
        <w:pStyle w:val="2"/>
        <w:ind w:left="0"/>
        <w:rPr>
          <w:rFonts w:hint="eastAsia" w:ascii="楷体" w:hAnsi="楷体" w:eastAsia="楷体" w:cs="楷体"/>
          <w:b w:val="0"/>
          <w:sz w:val="21"/>
        </w:rPr>
      </w:pPr>
      <w:r>
        <w:rPr>
          <w:rFonts w:hint="eastAsia" w:ascii="楷体" w:hAnsi="楷体" w:eastAsia="楷体" w:cs="楷体"/>
          <w:b w:val="0"/>
          <w:sz w:val="21"/>
        </w:rPr>
        <w:t>（二）期末理财产品持有的前十项资产</w:t>
      </w:r>
    </w:p>
    <w:tbl>
      <w:tblPr>
        <w:tblStyle w:val="9"/>
        <w:tblW w:w="86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3"/>
        <w:gridCol w:w="2434"/>
        <w:gridCol w:w="1275"/>
        <w:gridCol w:w="2235"/>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序号</w:t>
            </w:r>
          </w:p>
        </w:tc>
        <w:tc>
          <w:tcPr>
            <w:tcW w:w="2434"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资产名称</w:t>
            </w:r>
          </w:p>
        </w:tc>
        <w:tc>
          <w:tcPr>
            <w:tcW w:w="127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资产类别</w:t>
            </w:r>
          </w:p>
        </w:tc>
        <w:tc>
          <w:tcPr>
            <w:tcW w:w="223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持有金额（元）</w:t>
            </w:r>
          </w:p>
        </w:tc>
        <w:tc>
          <w:tcPr>
            <w:tcW w:w="1800"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jc w:val="center"/>
              <w:rPr>
                <w:rFonts w:hint="eastAsia" w:ascii="楷体" w:hAnsi="楷体" w:eastAsia="楷体" w:cs="楷体"/>
                <w:sz w:val="22"/>
              </w:rPr>
            </w:pPr>
            <w:r>
              <w:rPr>
                <w:rFonts w:hint="eastAsia" w:ascii="楷体" w:hAnsi="楷体" w:eastAsia="楷体" w:cs="楷体"/>
                <w:sz w:val="22"/>
              </w:rPr>
              <w:t>1</w:t>
            </w:r>
          </w:p>
        </w:tc>
        <w:tc>
          <w:tcPr>
            <w:tcW w:w="2434" w:type="dxa"/>
          </w:tcPr>
          <w:p>
            <w:pPr>
              <w:jc w:val="center"/>
              <w:rPr>
                <w:rFonts w:hint="eastAsia" w:ascii="楷体" w:hAnsi="楷体" w:eastAsia="楷体" w:cs="楷体"/>
                <w:sz w:val="22"/>
              </w:rPr>
            </w:pPr>
            <w:r>
              <w:rPr>
                <w:rFonts w:hint="eastAsia" w:ascii="楷体" w:hAnsi="楷体" w:eastAsia="楷体" w:cs="楷体"/>
                <w:sz w:val="22"/>
              </w:rPr>
              <w:t>24惠科02</w:t>
            </w:r>
          </w:p>
        </w:tc>
        <w:tc>
          <w:tcPr>
            <w:tcW w:w="1275" w:type="dxa"/>
          </w:tcPr>
          <w:p>
            <w:pPr>
              <w:jc w:val="center"/>
              <w:rPr>
                <w:rFonts w:hint="eastAsia" w:ascii="楷体" w:hAnsi="楷体" w:eastAsia="楷体" w:cs="楷体"/>
                <w:sz w:val="22"/>
              </w:rPr>
            </w:pPr>
            <w:r>
              <w:rPr>
                <w:rFonts w:hint="eastAsia" w:ascii="楷体" w:hAnsi="楷体" w:eastAsia="楷体" w:cs="楷体"/>
                <w:sz w:val="22"/>
              </w:rPr>
              <w:t>债券</w:t>
            </w:r>
          </w:p>
        </w:tc>
        <w:tc>
          <w:tcPr>
            <w:tcW w:w="2235" w:type="dxa"/>
          </w:tcPr>
          <w:p>
            <w:pPr>
              <w:jc w:val="center"/>
              <w:rPr>
                <w:rFonts w:hint="eastAsia" w:ascii="楷体" w:hAnsi="楷体" w:eastAsia="楷体" w:cs="楷体"/>
                <w:sz w:val="22"/>
              </w:rPr>
            </w:pPr>
            <w:r>
              <w:rPr>
                <w:rFonts w:hint="eastAsia" w:ascii="楷体" w:hAnsi="楷体" w:eastAsia="楷体" w:cs="楷体"/>
                <w:sz w:val="22"/>
              </w:rPr>
              <w:t>40,239,051.72</w:t>
            </w:r>
          </w:p>
        </w:tc>
        <w:tc>
          <w:tcPr>
            <w:tcW w:w="1800" w:type="dxa"/>
          </w:tcPr>
          <w:p>
            <w:pPr>
              <w:jc w:val="center"/>
              <w:rPr>
                <w:rFonts w:hint="eastAsia" w:ascii="楷体" w:hAnsi="楷体" w:eastAsia="楷体" w:cs="楷体"/>
                <w:sz w:val="22"/>
              </w:rPr>
            </w:pPr>
            <w:r>
              <w:rPr>
                <w:rFonts w:hint="eastAsia" w:ascii="楷体" w:hAnsi="楷体" w:eastAsia="楷体" w:cs="楷体"/>
                <w:sz w:val="22"/>
              </w:rPr>
              <w:t>6.77%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2</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24宁通01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40,221,572.60</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6.77%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3</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15,524,091.44</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4</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25农业银行CD183</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同业存单</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5,528,638.79</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5</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25常新G1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3,855,601.17</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6</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25广控01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3,794,599.38</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7</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25海润01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3,786,516.94</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8</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25海国01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3,785,887.33</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9</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25光大银行CD112</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同业存单</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3,685,384.91</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10</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25国开05</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3,425,908.74</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0.58%</w:t>
            </w:r>
          </w:p>
        </w:tc>
      </w:tr>
    </w:tbl>
    <w:p>
      <w:pPr>
        <w:pStyle w:val="14"/>
        <w:rPr>
          <w:rFonts w:hint="eastAsia" w:ascii="楷体" w:hAnsi="楷体" w:eastAsia="楷体" w:cs="楷体"/>
        </w:rPr>
      </w:pPr>
    </w:p>
    <w:p>
      <w:pPr>
        <w:pStyle w:val="2"/>
        <w:numPr>
          <w:ilvl w:val="0"/>
          <w:numId w:val="1"/>
        </w:numPr>
        <w:rPr>
          <w:rFonts w:hint="eastAsia" w:ascii="楷体" w:hAnsi="楷体" w:eastAsia="楷体" w:cs="楷体"/>
          <w:b w:val="0"/>
          <w:sz w:val="21"/>
        </w:rPr>
      </w:pPr>
      <w:r>
        <w:rPr>
          <w:rFonts w:hint="eastAsia" w:ascii="楷体" w:hAnsi="楷体" w:eastAsia="楷体" w:cs="楷体"/>
          <w:b w:val="0"/>
          <w:sz w:val="21"/>
        </w:rPr>
        <w:t>非标资产情况</w:t>
      </w:r>
    </w:p>
    <w:p>
      <w:pPr>
        <w:ind w:firstLine="220" w:firstLineChars="100"/>
        <w:rPr>
          <w:rFonts w:hint="eastAsia" w:ascii="楷体" w:hAnsi="楷体" w:eastAsia="楷体" w:cs="楷体"/>
        </w:rPr>
      </w:pPr>
      <w:r>
        <w:rPr>
          <w:rFonts w:hint="eastAsia" w:ascii="楷体" w:hAnsi="楷体" w:eastAsia="楷体" w:cs="楷体"/>
          <w:sz w:val="22"/>
          <w:szCs w:val="24"/>
        </w:rPr>
        <w:t>1）非标资产投资情况</w:t>
      </w:r>
    </w:p>
    <w:tbl>
      <w:tblPr>
        <w:tblStyle w:val="9"/>
        <w:tblW w:w="8811" w:type="dxa"/>
        <w:tblInd w:w="0" w:type="dxa"/>
        <w:tblLayout w:type="fixed"/>
        <w:tblCellMar>
          <w:top w:w="0" w:type="dxa"/>
          <w:left w:w="108" w:type="dxa"/>
          <w:bottom w:w="0" w:type="dxa"/>
          <w:right w:w="108" w:type="dxa"/>
        </w:tblCellMar>
      </w:tblPr>
      <w:tblGrid>
        <w:gridCol w:w="1401"/>
        <w:gridCol w:w="1410"/>
        <w:gridCol w:w="1245"/>
        <w:gridCol w:w="1485"/>
        <w:gridCol w:w="1335"/>
        <w:gridCol w:w="1080"/>
        <w:gridCol w:w="855"/>
      </w:tblGrid>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41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项目名称</w:t>
            </w:r>
          </w:p>
        </w:tc>
        <w:tc>
          <w:tcPr>
            <w:tcW w:w="124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剩余融资期限（天）</w:t>
            </w:r>
          </w:p>
        </w:tc>
        <w:tc>
          <w:tcPr>
            <w:tcW w:w="148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资产面值</w:t>
            </w:r>
          </w:p>
        </w:tc>
        <w:tc>
          <w:tcPr>
            <w:tcW w:w="133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到期分配方式</w:t>
            </w:r>
          </w:p>
        </w:tc>
        <w:tc>
          <w:tcPr>
            <w:tcW w:w="108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交易结构</w:t>
            </w:r>
          </w:p>
        </w:tc>
        <w:tc>
          <w:tcPr>
            <w:tcW w:w="85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风险状况</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41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24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48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33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08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85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r>
    </w:tbl>
    <w:p>
      <w:pPr>
        <w:pStyle w:val="14"/>
        <w:rPr>
          <w:rFonts w:hint="eastAsia" w:ascii="楷体" w:hAnsi="楷体" w:eastAsia="楷体" w:cs="楷体"/>
        </w:rPr>
      </w:pPr>
    </w:p>
    <w:p>
      <w:pPr>
        <w:spacing w:line="320" w:lineRule="exact"/>
        <w:ind w:firstLine="220" w:firstLineChars="100"/>
        <w:rPr>
          <w:rFonts w:hint="eastAsia" w:ascii="楷体" w:hAnsi="楷体" w:eastAsia="楷体" w:cs="楷体"/>
        </w:rPr>
      </w:pPr>
      <w:r>
        <w:rPr>
          <w:rFonts w:hint="eastAsia" w:ascii="楷体" w:hAnsi="楷体" w:eastAsia="楷体" w:cs="楷体"/>
          <w:sz w:val="22"/>
          <w:szCs w:val="24"/>
        </w:rPr>
        <w:t>2）融资客户情况</w:t>
      </w:r>
    </w:p>
    <w:tbl>
      <w:tblPr>
        <w:tblStyle w:val="10"/>
        <w:tblW w:w="88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2"/>
        <w:gridCol w:w="1399"/>
        <w:gridCol w:w="1263"/>
        <w:gridCol w:w="47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1412"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399"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成立日期</w:t>
            </w:r>
          </w:p>
        </w:tc>
        <w:tc>
          <w:tcPr>
            <w:tcW w:w="1263"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注册资本（元）</w:t>
            </w:r>
          </w:p>
        </w:tc>
        <w:tc>
          <w:tcPr>
            <w:tcW w:w="4746"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经营范围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2"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399"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263"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4746"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r>
    </w:tbl>
    <w:p>
      <w:pPr>
        <w:pStyle w:val="14"/>
        <w:rPr>
          <w:rFonts w:hint="eastAsia" w:ascii="楷体" w:hAnsi="楷体" w:eastAsia="楷体" w:cs="楷体"/>
        </w:rPr>
      </w:pPr>
    </w:p>
    <w:p>
      <w:pPr>
        <w:pStyle w:val="2"/>
        <w:rPr>
          <w:rFonts w:hint="eastAsia" w:ascii="楷体" w:hAnsi="楷体" w:eastAsia="楷体" w:cs="楷体"/>
          <w:b w:val="0"/>
          <w:sz w:val="21"/>
        </w:rPr>
      </w:pPr>
      <w:r>
        <w:rPr>
          <w:rFonts w:hint="eastAsia" w:ascii="楷体" w:hAnsi="楷体" w:eastAsia="楷体" w:cs="楷体"/>
          <w:b w:val="0"/>
          <w:sz w:val="21"/>
        </w:rPr>
        <w:t>（四）关联交易情况</w:t>
      </w:r>
    </w:p>
    <w:p>
      <w:pPr>
        <w:spacing w:line="320" w:lineRule="exact"/>
        <w:ind w:firstLine="220" w:firstLineChars="100"/>
        <w:rPr>
          <w:rFonts w:hint="eastAsia" w:ascii="楷体" w:hAnsi="楷体" w:eastAsia="楷体" w:cs="楷体"/>
          <w:sz w:val="22"/>
          <w:szCs w:val="24"/>
        </w:rPr>
      </w:pPr>
      <w:r>
        <w:rPr>
          <w:rFonts w:hint="eastAsia" w:ascii="楷体" w:hAnsi="楷体" w:eastAsia="楷体" w:cs="楷体"/>
          <w:sz w:val="22"/>
          <w:szCs w:val="24"/>
        </w:rPr>
        <w:t>1）报告期内投资于关联方发行的证券或其他金融工具</w:t>
      </w:r>
    </w:p>
    <w:tbl>
      <w:tblPr>
        <w:tblStyle w:val="9"/>
        <w:tblW w:w="8621" w:type="dxa"/>
        <w:tblInd w:w="0" w:type="dxa"/>
        <w:tblLayout w:type="fixed"/>
        <w:tblCellMar>
          <w:top w:w="0" w:type="dxa"/>
          <w:left w:w="108" w:type="dxa"/>
          <w:bottom w:w="0" w:type="dxa"/>
          <w:right w:w="108" w:type="dxa"/>
        </w:tblCellMar>
      </w:tblPr>
      <w:tblGrid>
        <w:gridCol w:w="1465"/>
        <w:gridCol w:w="1440"/>
        <w:gridCol w:w="1425"/>
        <w:gridCol w:w="2115"/>
        <w:gridCol w:w="2176"/>
      </w:tblGrid>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1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ind w:firstLine="220" w:firstLineChars="100"/>
        <w:rPr>
          <w:rFonts w:hint="eastAsia" w:ascii="楷体" w:hAnsi="楷体" w:eastAsia="楷体" w:cs="楷体"/>
        </w:rPr>
      </w:pPr>
      <w:r>
        <w:rPr>
          <w:rFonts w:hint="eastAsia" w:ascii="楷体" w:hAnsi="楷体" w:eastAsia="楷体" w:cs="楷体"/>
          <w:sz w:val="22"/>
          <w:szCs w:val="24"/>
        </w:rPr>
        <w:t>2）报告期内投资于关联方承销的证券或其他金融工具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425"/>
        <w:gridCol w:w="2085"/>
        <w:gridCol w:w="2191"/>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0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9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08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9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报告期内投资于关联方管理的资管产品或其他金融工具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395"/>
        <w:gridCol w:w="2130"/>
        <w:gridCol w:w="2176"/>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金融工具代码</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金融工具名称</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NETA20201230000002</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江苏信托鼎泰1号集合资金信托计划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65,274,470.99</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80,000,000.00</w:t>
            </w:r>
          </w:p>
        </w:tc>
      </w:tr>
    </w:tbl>
    <w:p>
      <w:pPr>
        <w:rPr>
          <w:rFonts w:hint="eastAsia" w:ascii="楷体" w:hAnsi="楷体" w:eastAsia="楷体" w:cs="楷体"/>
          <w:sz w:val="22"/>
          <w:szCs w:val="24"/>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报告期内的其他关联交易</w:t>
      </w:r>
    </w:p>
    <w:tbl>
      <w:tblPr>
        <w:tblStyle w:val="9"/>
        <w:tblW w:w="8621" w:type="dxa"/>
        <w:tblInd w:w="0" w:type="dxa"/>
        <w:tblLayout w:type="fixed"/>
        <w:tblCellMar>
          <w:top w:w="0" w:type="dxa"/>
          <w:left w:w="108" w:type="dxa"/>
          <w:bottom w:w="0" w:type="dxa"/>
          <w:right w:w="108" w:type="dxa"/>
        </w:tblCellMar>
      </w:tblPr>
      <w:tblGrid>
        <w:gridCol w:w="1930"/>
        <w:gridCol w:w="3540"/>
        <w:gridCol w:w="3151"/>
      </w:tblGrid>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交易类型</w:t>
            </w:r>
          </w:p>
        </w:tc>
        <w:tc>
          <w:tcPr>
            <w:tcW w:w="35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315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关联交易金额（元）</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代销费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75,524.13</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托管费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28,074.81</w:t>
            </w:r>
          </w:p>
        </w:tc>
      </w:tr>
    </w:tbl>
    <w:p>
      <w:pPr>
        <w:pStyle w:val="14"/>
        <w:rPr>
          <w:rFonts w:hint="eastAsia" w:ascii="楷体" w:hAnsi="楷体" w:eastAsia="楷体" w:cs="楷体"/>
          <w:sz w:val="21"/>
          <w:szCs w:val="21"/>
        </w:rPr>
      </w:pPr>
      <w:r>
        <w:rPr>
          <w:rFonts w:hint="eastAsia" w:ascii="楷体" w:hAnsi="楷体" w:eastAsia="楷体" w:cs="楷体"/>
          <w:sz w:val="21"/>
          <w:szCs w:val="21"/>
        </w:rPr>
        <w:t>注：本报告中理财产品托管费、代销费、直销费均基于产品实际支付金额进行统计。</w:t>
      </w:r>
    </w:p>
    <w:p>
      <w:pPr>
        <w:pStyle w:val="14"/>
        <w:rPr>
          <w:rFonts w:hint="eastAsia" w:ascii="楷体" w:hAnsi="楷体" w:eastAsia="楷体" w:cs="楷体"/>
        </w:rPr>
      </w:pPr>
    </w:p>
    <w:p>
      <w:pPr>
        <w:rPr>
          <w:rFonts w:hint="eastAsia" w:ascii="楷体" w:hAnsi="楷体" w:eastAsia="楷体" w:cs="楷体"/>
          <w:sz w:val="22"/>
          <w:szCs w:val="24"/>
        </w:rPr>
      </w:pPr>
      <w:r>
        <w:rPr>
          <w:rFonts w:hint="eastAsia" w:ascii="楷体" w:hAnsi="楷体" w:eastAsia="楷体" w:cs="楷体"/>
          <w:sz w:val="22"/>
          <w:szCs w:val="24"/>
        </w:rPr>
        <w:t>（五）自有资金投资情况</w:t>
      </w:r>
    </w:p>
    <w:tbl>
      <w:tblPr>
        <w:tblStyle w:val="9"/>
        <w:tblW w:w="7299" w:type="dxa"/>
        <w:tblInd w:w="0" w:type="dxa"/>
        <w:tblLayout w:type="fixed"/>
        <w:tblCellMar>
          <w:top w:w="0" w:type="dxa"/>
          <w:left w:w="108" w:type="dxa"/>
          <w:bottom w:w="0" w:type="dxa"/>
          <w:right w:w="108" w:type="dxa"/>
        </w:tblCellMar>
      </w:tblPr>
      <w:tblGrid>
        <w:gridCol w:w="2796"/>
        <w:gridCol w:w="4503"/>
      </w:tblGrid>
      <w:tr>
        <w:tblPrEx>
          <w:tblCellMar>
            <w:top w:w="0" w:type="dxa"/>
            <w:left w:w="108" w:type="dxa"/>
            <w:bottom w:w="0" w:type="dxa"/>
            <w:right w:w="108" w:type="dxa"/>
          </w:tblCellMar>
        </w:tblPrEx>
        <w:trPr>
          <w:trHeight w:val="311"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产品名称</w:t>
            </w:r>
          </w:p>
        </w:tc>
        <w:tc>
          <w:tcPr>
            <w:tcW w:w="45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78"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450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ind w:firstLine="420" w:firstLineChars="200"/>
        <w:rPr>
          <w:rFonts w:hint="eastAsia" w:ascii="楷体" w:hAnsi="楷体" w:eastAsia="楷体" w:cs="楷体"/>
          <w:bCs/>
          <w:kern w:val="0"/>
          <w:sz w:val="21"/>
          <w:szCs w:val="21"/>
        </w:rPr>
      </w:pPr>
      <w:r>
        <w:rPr>
          <w:rFonts w:hint="eastAsia" w:ascii="楷体" w:hAnsi="楷体" w:eastAsia="楷体" w:cs="楷体"/>
          <w:bCs/>
          <w:kern w:val="0"/>
          <w:sz w:val="21"/>
          <w:szCs w:val="21"/>
        </w:rPr>
        <w:t>本公司自有资金投资本公司管理的理财产品适用的费率均不优于其他投资者。</w:t>
      </w:r>
    </w:p>
    <w:p>
      <w:pPr>
        <w:ind w:firstLine="560" w:firstLineChars="200"/>
        <w:rPr>
          <w:rFonts w:hint="eastAsia" w:ascii="楷体" w:hAnsi="楷体" w:eastAsia="楷体" w:cs="楷体"/>
          <w:bCs/>
          <w:kern w:val="0"/>
          <w:szCs w:val="21"/>
        </w:rPr>
      </w:pPr>
    </w:p>
    <w:p>
      <w:pPr>
        <w:rPr>
          <w:rFonts w:hint="eastAsia" w:ascii="楷体" w:hAnsi="楷体" w:eastAsia="楷体" w:cs="楷体"/>
          <w:sz w:val="22"/>
          <w:szCs w:val="24"/>
        </w:rPr>
      </w:pPr>
      <w:r>
        <w:rPr>
          <w:rFonts w:hint="eastAsia" w:ascii="楷体" w:hAnsi="楷体" w:eastAsia="楷体" w:cs="楷体"/>
          <w:sz w:val="22"/>
          <w:szCs w:val="24"/>
        </w:rPr>
        <w:t>（六）理财产品份额变动情况</w:t>
      </w:r>
    </w:p>
    <w:tbl>
      <w:tblPr>
        <w:tblStyle w:val="9"/>
        <w:tblW w:w="7305" w:type="dxa"/>
        <w:tblInd w:w="0" w:type="dxa"/>
        <w:tblLayout w:type="fixed"/>
        <w:tblCellMar>
          <w:top w:w="0" w:type="dxa"/>
          <w:left w:w="108" w:type="dxa"/>
          <w:bottom w:w="0" w:type="dxa"/>
          <w:right w:w="108" w:type="dxa"/>
        </w:tblCellMar>
      </w:tblPr>
      <w:tblGrid>
        <w:gridCol w:w="2798"/>
        <w:gridCol w:w="4507"/>
      </w:tblGrid>
      <w:tr>
        <w:tblPrEx>
          <w:tblCellMar>
            <w:top w:w="0" w:type="dxa"/>
            <w:left w:w="108" w:type="dxa"/>
            <w:bottom w:w="0" w:type="dxa"/>
            <w:right w:w="108" w:type="dxa"/>
          </w:tblCellMar>
        </w:tblPrEx>
        <w:trPr>
          <w:trHeight w:val="311" w:hRule="atLeast"/>
        </w:trPr>
        <w:tc>
          <w:tcPr>
            <w:tcW w:w="2798"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日期</w:t>
            </w:r>
          </w:p>
        </w:tc>
        <w:tc>
          <w:tcPr>
            <w:tcW w:w="4507"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2025-06-30</w:t>
            </w:r>
          </w:p>
        </w:tc>
        <w:tc>
          <w:tcPr>
            <w:tcW w:w="4507"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569,176,461.56</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2025-03-31</w:t>
            </w:r>
          </w:p>
        </w:tc>
        <w:tc>
          <w:tcPr>
            <w:tcW w:w="4507"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525,300,585.53</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四.投资运作情况</w:t>
      </w:r>
    </w:p>
    <w:p>
      <w:pPr>
        <w:pStyle w:val="2"/>
        <w:rPr>
          <w:rFonts w:ascii="楷体" w:hAnsi="楷体"/>
          <w:b w:val="0"/>
          <w:sz w:val="21"/>
        </w:rPr>
      </w:pPr>
      <w:r>
        <w:rPr>
          <w:rFonts w:ascii="楷体" w:hAnsi="楷体"/>
          <w:b w:val="0"/>
          <w:sz w:val="21"/>
        </w:rPr>
        <w:t>1</w:t>
      </w:r>
      <w:r>
        <w:rPr>
          <w:rFonts w:hint="eastAsia" w:ascii="楷体" w:hAnsi="楷体"/>
          <w:b w:val="0"/>
          <w:sz w:val="21"/>
          <w:lang w:eastAsia="zh-CN"/>
        </w:rPr>
        <w:t>、</w:t>
      </w:r>
      <w:r>
        <w:rPr>
          <w:rFonts w:hint="eastAsia" w:ascii="楷体" w:hAnsi="楷体"/>
          <w:b w:val="0"/>
          <w:sz w:val="21"/>
        </w:rPr>
        <w:t>运作期</w:t>
      </w:r>
      <w:r>
        <w:rPr>
          <w:rFonts w:ascii="楷体" w:hAnsi="楷体"/>
          <w:b w:val="0"/>
          <w:sz w:val="21"/>
        </w:rPr>
        <w:t>回顾</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rPr>
      </w:pPr>
      <w:r>
        <w:rPr>
          <w:rFonts w:hint="eastAsia" w:ascii="楷体" w:hAnsi="楷体" w:cs="Times New Roman"/>
          <w:b w:val="0"/>
          <w:sz w:val="21"/>
        </w:rPr>
        <w:t>二季度债市在超预期关税驱动下先是急涨，随后进入震荡格局。期间，关税作为宏观层面的主要矛盾，前期债市主要围绕关税谈判本身进行博弈，并在首次谈判促进税率下调后出现回调；后期则主要围绕关税影响寻找方向，即关税客观上导致经济边际走弱和资金面持续宽松，收益率重新向季初低点回落。</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rPr>
      </w:pPr>
      <w:r>
        <w:rPr>
          <w:rFonts w:hint="eastAsia" w:ascii="楷体" w:hAnsi="楷体" w:cs="Times New Roman"/>
          <w:b w:val="0"/>
          <w:sz w:val="21"/>
        </w:rPr>
        <w:t>4月初，特朗普政府“对等关税”意外冲击全球市场，关税政策的落地和加税幅度超出市场预期，从风险偏好、基本面以及随之而来的政策应对举措等维度全方面影响债市投资者的预期，10年、30年活跃利率债快速下行接近前低。虽然后续中美在日内瓦、伦敦达成了缓和关税冲突的协定，但利率仅出现短期扰动，并未持续上行、回到或接近关税冲突前的点位。事后看，“对等关税”对债市的影响相对加速了、阶段性加深了此前基于“基本面阶段性压力-狭义流动性趋松”的看多逻辑，因此快速下行后，5-6月无风险收益率逐渐趋于震荡，波动率大幅下降。</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rPr>
      </w:pPr>
      <w:r>
        <w:rPr>
          <w:rFonts w:hint="eastAsia" w:ascii="楷体" w:hAnsi="楷体" w:cs="Times New Roman"/>
          <w:b w:val="0"/>
          <w:sz w:val="21"/>
        </w:rPr>
        <w:t>随着资金价格中枢逐步下行，债市对宽松的定价逐步深化，主要体现在：1）信用利差明显压缩，5月12日以来，5年中债隐含评级AA（2）城投债信用利差累计下行超15bp；2）长期信用债活跃度提升、利率新老券利差压缩</w:t>
      </w:r>
      <w:r>
        <w:rPr>
          <w:rFonts w:hint="default" w:ascii="楷体" w:hAnsi="楷体" w:cs="Times New Roman"/>
          <w:b w:val="0"/>
          <w:sz w:val="21"/>
        </w:rPr>
        <w:t>。</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rPr>
      </w:pPr>
      <w:r>
        <w:rPr>
          <w:rFonts w:hint="eastAsia" w:ascii="楷体" w:hAnsi="楷体" w:cs="Times New Roman"/>
          <w:b w:val="0"/>
          <w:sz w:val="21"/>
        </w:rPr>
        <w:t>本理财产品以固收类资产为主，通过对宏观经济、市场利率、债券市场需求供给的变化、信用风险等进行充分研判，主动构建并调整债券资产投资组合，力争获取超额收益。</w:t>
      </w:r>
    </w:p>
    <w:p>
      <w:pPr>
        <w:pStyle w:val="2"/>
        <w:rPr>
          <w:rFonts w:ascii="楷体" w:hAnsi="楷体"/>
          <w:b w:val="0"/>
          <w:sz w:val="21"/>
        </w:rPr>
      </w:pPr>
    </w:p>
    <w:p>
      <w:pPr>
        <w:pStyle w:val="2"/>
        <w:rPr>
          <w:rFonts w:ascii="楷体" w:hAnsi="楷体"/>
          <w:b w:val="0"/>
          <w:sz w:val="21"/>
        </w:rPr>
      </w:pPr>
      <w:r>
        <w:rPr>
          <w:rFonts w:ascii="楷体" w:hAnsi="楷体"/>
          <w:b w:val="0"/>
          <w:sz w:val="21"/>
        </w:rPr>
        <w:t>2</w:t>
      </w:r>
      <w:r>
        <w:rPr>
          <w:rFonts w:hint="eastAsia" w:ascii="楷体" w:hAnsi="楷体"/>
          <w:b w:val="0"/>
          <w:sz w:val="21"/>
          <w:lang w:eastAsia="zh-CN"/>
        </w:rPr>
        <w:t>、</w:t>
      </w:r>
      <w:r>
        <w:rPr>
          <w:rFonts w:ascii="楷体" w:hAnsi="楷体"/>
          <w:b w:val="0"/>
          <w:sz w:val="21"/>
        </w:rPr>
        <w:t>后市展望及下阶段投资策略</w:t>
      </w:r>
    </w:p>
    <w:p>
      <w:pPr>
        <w:ind w:firstLine="420" w:firstLineChars="200"/>
        <w:rPr>
          <w:rFonts w:hint="eastAsia" w:ascii="楷体" w:hAnsi="楷体" w:eastAsia="楷体" w:cs="Times New Roman"/>
          <w:b w:val="0"/>
          <w:bCs/>
          <w:kern w:val="0"/>
          <w:sz w:val="21"/>
          <w:szCs w:val="21"/>
          <w:lang w:val="en-US" w:eastAsia="zh-CN" w:bidi="ar-SA"/>
        </w:rPr>
      </w:pPr>
      <w:r>
        <w:rPr>
          <w:rFonts w:hint="eastAsia" w:ascii="楷体" w:hAnsi="楷体" w:eastAsia="楷体" w:cs="Times New Roman"/>
          <w:b w:val="0"/>
          <w:bCs/>
          <w:kern w:val="0"/>
          <w:sz w:val="21"/>
          <w:szCs w:val="21"/>
          <w:lang w:val="en-US" w:eastAsia="zh-CN" w:bidi="ar-SA"/>
        </w:rPr>
        <w:t>未来，我司将持续对内外部经济环境进行密切跟踪和研判，持续关注各央行政策的边际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hint="eastAsia" w:ascii="楷体" w:hAnsi="楷体" w:eastAsia="楷体" w:cs="Times New Roman"/>
          <w:b w:val="0"/>
          <w:bCs/>
          <w:kern w:val="0"/>
          <w:sz w:val="21"/>
          <w:szCs w:val="21"/>
          <w:lang w:val="en-US" w:eastAsia="zh-CN" w:bidi="ar-SA"/>
        </w:rPr>
      </w:pPr>
    </w:p>
    <w:p>
      <w:pPr>
        <w:pStyle w:val="2"/>
        <w:rPr>
          <w:rFonts w:ascii="楷体" w:hAnsi="楷体"/>
          <w:b w:val="0"/>
          <w:sz w:val="21"/>
        </w:rPr>
      </w:pPr>
      <w:r>
        <w:rPr>
          <w:rFonts w:hint="eastAsia" w:ascii="楷体" w:hAnsi="楷体"/>
          <w:b w:val="0"/>
          <w:sz w:val="21"/>
        </w:rPr>
        <w:t>3</w:t>
      </w:r>
      <w:r>
        <w:rPr>
          <w:rFonts w:hint="eastAsia" w:ascii="楷体" w:hAnsi="楷体"/>
          <w:b w:val="0"/>
          <w:sz w:val="21"/>
          <w:lang w:eastAsia="zh-CN"/>
        </w:rPr>
        <w:t>、</w:t>
      </w:r>
      <w:r>
        <w:rPr>
          <w:rFonts w:hint="eastAsia" w:ascii="楷体" w:hAnsi="楷体"/>
          <w:b w:val="0"/>
          <w:sz w:val="21"/>
        </w:rPr>
        <w:t>流动性风险分析</w:t>
      </w:r>
    </w:p>
    <w:p>
      <w:pPr>
        <w:ind w:firstLine="420" w:firstLineChars="200"/>
        <w:rPr>
          <w:rFonts w:hint="eastAsia" w:ascii="楷体" w:hAnsi="楷体" w:eastAsia="楷体" w:cs="Times New Roman"/>
          <w:b w:val="0"/>
          <w:bCs/>
          <w:kern w:val="0"/>
          <w:sz w:val="21"/>
          <w:szCs w:val="21"/>
          <w:lang w:val="en-US" w:eastAsia="zh-CN" w:bidi="ar-SA"/>
        </w:rPr>
      </w:pPr>
      <w:r>
        <w:rPr>
          <w:rFonts w:hint="eastAsia" w:ascii="楷体" w:hAnsi="楷体" w:eastAsia="楷体" w:cs="Times New Roman"/>
          <w:b w:val="0"/>
          <w:bCs/>
          <w:kern w:val="0"/>
          <w:sz w:val="21"/>
          <w:szCs w:val="21"/>
          <w:lang w:val="en-US" w:eastAsia="zh-CN" w:bidi="ar-SA"/>
        </w:rPr>
        <w:t>本产品持仓资产以标准化债权类资产为主，变现能力较强，通过组合久期管理、流动性指标监测等多项措施持续加强流动性管理，有效控制产品的流动性风险。</w:t>
      </w:r>
    </w:p>
    <w:p>
      <w:pPr>
        <w:ind w:firstLine="560" w:firstLineChars="200"/>
        <w:rPr>
          <w:rFonts w:hint="eastAsia" w:ascii="楷体" w:hAnsi="楷体" w:eastAsia="楷体" w:cs="楷体"/>
          <w:bCs/>
          <w:kern w:val="0"/>
          <w:szCs w:val="21"/>
        </w:rPr>
      </w:pPr>
      <w:bookmarkStart w:id="1" w:name="_GoBack"/>
      <w:bookmarkEnd w:id="1"/>
    </w:p>
    <w:p>
      <w:pPr>
        <w:rPr>
          <w:rFonts w:hint="eastAsia" w:ascii="楷体" w:hAnsi="楷体" w:eastAsia="楷体" w:cs="楷体"/>
        </w:rPr>
      </w:pPr>
    </w:p>
    <w:p>
      <w:pPr>
        <w:ind w:firstLine="560" w:firstLineChars="200"/>
        <w:rPr>
          <w:rFonts w:hint="eastAsia" w:ascii="楷体" w:hAnsi="楷体" w:eastAsia="楷体" w:cs="楷体"/>
          <w:bCs/>
          <w:kern w:val="0"/>
          <w:szCs w:val="21"/>
        </w:rPr>
      </w:pPr>
    </w:p>
    <w:p>
      <w:pPr>
        <w:rPr>
          <w:rFonts w:hint="eastAsia" w:ascii="楷体" w:hAnsi="楷体" w:eastAsia="楷体" w:cs="楷体"/>
          <w:sz w:val="21"/>
          <w:szCs w:val="21"/>
        </w:rPr>
      </w:pPr>
    </w:p>
    <w:p>
      <w:pPr>
        <w:jc w:val="right"/>
        <w:rPr>
          <w:rFonts w:hint="eastAsia" w:ascii="楷体" w:hAnsi="楷体" w:eastAsia="楷体" w:cs="楷体"/>
          <w:sz w:val="21"/>
          <w:szCs w:val="21"/>
        </w:rPr>
      </w:pPr>
      <w:r>
        <w:rPr>
          <w:rFonts w:hint="eastAsia" w:ascii="楷体" w:hAnsi="楷体" w:eastAsia="楷体" w:cs="楷体"/>
          <w:b/>
          <w:sz w:val="21"/>
          <w:szCs w:val="21"/>
        </w:rPr>
        <w:t>苏银理财有限责任公司</w:t>
      </w:r>
    </w:p>
    <w:p>
      <w:pPr>
        <w:ind w:firstLine="630" w:firstLineChars="300"/>
        <w:jc w:val="right"/>
        <w:rPr>
          <w:rFonts w:hint="eastAsia" w:ascii="楷体" w:hAnsi="楷体" w:eastAsia="楷体" w:cs="楷体"/>
          <w:sz w:val="21"/>
          <w:szCs w:val="21"/>
        </w:rPr>
      </w:pPr>
      <w:r>
        <w:rPr>
          <w:rFonts w:hint="eastAsia" w:ascii="楷体" w:hAnsi="楷体" w:eastAsia="楷体" w:cs="楷体"/>
          <w:sz w:val="21"/>
          <w:szCs w:val="21"/>
        </w:rPr>
        <w:t>2025年06月30日</w:t>
      </w:r>
    </w:p>
    <w:p>
      <w:pPr>
        <w:rPr>
          <w:rFonts w:hint="eastAsia" w:ascii="楷体" w:hAnsi="楷体" w:eastAsia="楷体" w:cs="楷体"/>
          <w:sz w:val="21"/>
          <w:szCs w:val="21"/>
        </w:rPr>
      </w:pPr>
    </w:p>
    <w:p>
      <w:pPr>
        <w:rPr>
          <w:rFonts w:hint="eastAsia" w:ascii="楷体" w:hAnsi="楷体" w:eastAsia="楷体" w:cs="楷体"/>
          <w:sz w:val="21"/>
          <w:szCs w:val="21"/>
        </w:rPr>
      </w:pPr>
      <w:r>
        <w:rPr>
          <w:rFonts w:hint="eastAsia" w:ascii="楷体" w:hAnsi="楷体" w:eastAsia="楷体" w:cs="楷体"/>
          <w:sz w:val="21"/>
          <w:szCs w:val="21"/>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kinsoku w:val="0"/>
      <w:overflowPunct w:val="0"/>
      <w:spacing w:before="0" w:line="320" w:lineRule="exact"/>
      <w:ind w:left="20"/>
      <w:jc w:val="both"/>
      <w:rPr>
        <w:rFonts w:ascii="楷体" w:hAnsi="楷体" w:eastAsia="楷体" w:cs="黑体"/>
        <w:b/>
        <w:spacing w:val="-2"/>
        <w:sz w:val="24"/>
        <w:szCs w:val="24"/>
      </w:rPr>
    </w:pPr>
    <w:r>
      <w:pict>
        <v:shape id="WordPictureWatermark1026" o:spid="_x0000_s2050" o:spt="75" type="#_x0000_t75" style="position:absolute;left:0pt;height:862.85pt;width:1137.35pt;mso-position-horizontal:center;mso-position-horizontal-relative:margin;mso-position-vertical:center;mso-position-vertical-relative:margin;z-index:-251655168;mso-width-relative:page;mso-height-relative:page;" filled="f" o:preferrelative="t" stroked="f" coordsize="21600,21600" o:allowincell="f">
          <v:path/>
          <v:fill on="f" focussize="0,0"/>
          <v:stroke on="f" joinstyle="miter"/>
          <v:imagedata r:id="rId1" gain="19661f" blacklevel="22938f" o:title="苏银理财"/>
          <o:lock v:ext="edit" aspectratio="t"/>
        </v:shape>
      </w:pict>
    </w:r>
    <w:r>
      <w:pict>
        <v:shape id="图片 1" o:spid="_x0000_s2051" o:spt="75" type="#_x0000_t75" style="position:absolute;left:0pt;margin-left:308.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2" o:title=""/>
          <o:lock v:ext="edit" aspectratio="t"/>
          <w10:wrap type="square"/>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5" o:spid="_x0000_s2049"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7" o:spid="_x0000_s2052"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CF74F5"/>
    <w:multiLevelType w:val="singleLevel"/>
    <w:tmpl w:val="B5CF74F5"/>
    <w:lvl w:ilvl="0" w:tentative="0">
      <w:start w:val="3"/>
      <w:numFmt w:val="chineseCounting"/>
      <w:suff w:val="nothing"/>
      <w:lvlText w:val="（%1）"/>
      <w:lvlJc w:val="left"/>
      <w:rPr>
        <w:rFonts w:hint="eastAsia"/>
      </w:rPr>
    </w:lvl>
  </w:abstractNum>
  <w:abstractNum w:abstractNumId="1">
    <w:nsid w:val="64C0CB79"/>
    <w:multiLevelType w:val="singleLevel"/>
    <w:tmpl w:val="64C0CB79"/>
    <w:lvl w:ilvl="0" w:tentative="0">
      <w:start w:val="3"/>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w:rsids>
    <w:rsidRoot w:val="00000000"/>
    <w:rsid w:val="518A3225"/>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99"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99"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99"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宋体"/>
      <w:kern w:val="2"/>
      <w:sz w:val="28"/>
      <w:szCs w:val="22"/>
      <w:lang w:val="en-US" w:eastAsia="zh-CN" w:bidi="ar-SA"/>
    </w:rPr>
  </w:style>
  <w:style w:type="paragraph" w:styleId="2">
    <w:name w:val="heading 3"/>
    <w:basedOn w:val="1"/>
    <w:next w:val="1"/>
    <w:link w:val="23"/>
    <w:qFormat/>
    <w:uiPriority w:val="1"/>
    <w:pPr>
      <w:autoSpaceDE w:val="0"/>
      <w:autoSpaceDN w:val="0"/>
      <w:adjustRightInd w:val="0"/>
      <w:spacing w:before="34"/>
      <w:ind w:left="120"/>
      <w:jc w:val="left"/>
      <w:outlineLvl w:val="2"/>
    </w:pPr>
    <w:rPr>
      <w:rFonts w:ascii="宋体" w:hAnsi="Times New Roman" w:eastAsia="楷体"/>
      <w:b/>
      <w:bCs/>
      <w:kern w:val="0"/>
      <w:sz w:val="24"/>
      <w:szCs w:val="21"/>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pPr>
      <w:jc w:val="left"/>
    </w:pPr>
  </w:style>
  <w:style w:type="paragraph" w:styleId="4">
    <w:name w:val="Body Text"/>
    <w:basedOn w:val="1"/>
    <w:qFormat/>
    <w:uiPriority w:val="1"/>
    <w:pPr>
      <w:autoSpaceDE w:val="0"/>
      <w:autoSpaceDN w:val="0"/>
      <w:adjustRightInd w:val="0"/>
      <w:spacing w:before="162"/>
      <w:ind w:left="120"/>
      <w:jc w:val="left"/>
    </w:pPr>
    <w:rPr>
      <w:rFonts w:ascii="宋体" w:hAnsi="Times New Roman" w:eastAsia="宋体" w:cs="宋体"/>
      <w:kern w:val="0"/>
      <w:sz w:val="20"/>
      <w:szCs w:val="21"/>
    </w:rPr>
  </w:style>
  <w:style w:type="paragraph" w:styleId="5">
    <w:name w:val="Balloon Text"/>
    <w:basedOn w:val="1"/>
    <w:unhideWhenUsed/>
    <w:qFormat/>
    <w:uiPriority w:val="99"/>
    <w:rPr>
      <w:sz w:val="18"/>
      <w:szCs w:val="18"/>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unhideWhenUsed/>
    <w:qFormat/>
    <w:uiPriority w:val="99"/>
    <w:rPr>
      <w:sz w:val="21"/>
      <w:szCs w:val="21"/>
    </w:rPr>
  </w:style>
  <w:style w:type="paragraph" w:customStyle="1" w:styleId="13">
    <w:name w:val="无间隔1"/>
    <w:qFormat/>
    <w:uiPriority w:val="1"/>
    <w:pPr>
      <w:widowControl w:val="0"/>
      <w:jc w:val="both"/>
    </w:pPr>
    <w:rPr>
      <w:rFonts w:ascii="等线" w:hAnsi="等线" w:eastAsia="等线" w:cs="Times New Roman"/>
      <w:kern w:val="2"/>
      <w:sz w:val="21"/>
      <w:szCs w:val="22"/>
      <w:lang w:val="en-US" w:eastAsia="zh-CN" w:bidi="ar-SA"/>
    </w:rPr>
  </w:style>
  <w:style w:type="paragraph" w:customStyle="1" w:styleId="14">
    <w:name w:val="标题4"/>
    <w:basedOn w:val="1"/>
    <w:qFormat/>
    <w:uiPriority w:val="0"/>
    <w:rPr>
      <w:rFonts w:eastAsia="楷体"/>
    </w:rPr>
  </w:style>
  <w:style w:type="character" w:customStyle="1" w:styleId="15">
    <w:name w:val="页眉 字符"/>
    <w:qFormat/>
    <w:uiPriority w:val="99"/>
    <w:rPr>
      <w:sz w:val="18"/>
      <w:szCs w:val="18"/>
    </w:rPr>
  </w:style>
  <w:style w:type="character" w:customStyle="1" w:styleId="16">
    <w:name w:val="页脚 字符"/>
    <w:qFormat/>
    <w:uiPriority w:val="99"/>
    <w:rPr>
      <w:sz w:val="18"/>
      <w:szCs w:val="18"/>
    </w:rPr>
  </w:style>
  <w:style w:type="character" w:customStyle="1" w:styleId="17">
    <w:name w:val="正文文本 字符1"/>
    <w:qFormat/>
    <w:uiPriority w:val="1"/>
    <w:rPr>
      <w:rFonts w:ascii="宋体" w:hAnsi="Times New Roman" w:eastAsia="宋体" w:cs="宋体"/>
      <w:szCs w:val="21"/>
    </w:rPr>
  </w:style>
  <w:style w:type="character" w:customStyle="1" w:styleId="18">
    <w:name w:val="正文文本 字符"/>
    <w:semiHidden/>
    <w:qFormat/>
    <w:uiPriority w:val="99"/>
    <w:rPr>
      <w:kern w:val="2"/>
      <w:sz w:val="21"/>
      <w:szCs w:val="22"/>
    </w:rPr>
  </w:style>
  <w:style w:type="character" w:customStyle="1" w:styleId="19">
    <w:name w:val="批注文字 字符1"/>
    <w:qFormat/>
    <w:uiPriority w:val="99"/>
    <w:rPr>
      <w:kern w:val="2"/>
      <w:sz w:val="21"/>
      <w:szCs w:val="22"/>
    </w:rPr>
  </w:style>
  <w:style w:type="character" w:customStyle="1" w:styleId="20">
    <w:name w:val="批注文字 字符"/>
    <w:semiHidden/>
    <w:qFormat/>
    <w:uiPriority w:val="99"/>
    <w:rPr>
      <w:kern w:val="2"/>
      <w:sz w:val="21"/>
      <w:szCs w:val="22"/>
    </w:rPr>
  </w:style>
  <w:style w:type="character" w:customStyle="1" w:styleId="21">
    <w:name w:val="批注框文本 字符"/>
    <w:semiHidden/>
    <w:qFormat/>
    <w:uiPriority w:val="99"/>
    <w:rPr>
      <w:kern w:val="2"/>
      <w:sz w:val="18"/>
      <w:szCs w:val="18"/>
    </w:rPr>
  </w:style>
  <w:style w:type="character" w:customStyle="1" w:styleId="22">
    <w:name w:val="标题 3 字符"/>
    <w:semiHidden/>
    <w:qFormat/>
    <w:uiPriority w:val="9"/>
    <w:rPr>
      <w:b/>
      <w:bCs/>
      <w:kern w:val="2"/>
      <w:sz w:val="32"/>
      <w:szCs w:val="32"/>
    </w:rPr>
  </w:style>
  <w:style w:type="character" w:customStyle="1" w:styleId="23">
    <w:name w:val="标题 3 字符1"/>
    <w:link w:val="2"/>
    <w:qFormat/>
    <w:uiPriority w:val="1"/>
    <w:rPr>
      <w:rFonts w:ascii="宋体" w:hAnsi="Times New Roman" w:eastAsia="楷体"/>
      <w:b/>
      <w:bCs/>
      <w:sz w:val="24"/>
      <w:szCs w:val="21"/>
    </w:rPr>
  </w:style>
  <w:style w:type="character" w:customStyle="1" w:styleId="24">
    <w:name w:val="标题4 字符"/>
    <w:qFormat/>
    <w:uiPriority w:val="0"/>
    <w:rPr>
      <w:rFonts w:eastAsia="楷体"/>
      <w:kern w:val="2"/>
      <w:sz w:val="21"/>
      <w:szCs w:val="22"/>
    </w:rPr>
  </w:style>
  <w:style w:type="paragraph" w:customStyle="1" w:styleId="25">
    <w:name w:val="Table Text"/>
    <w:basedOn w:val="1"/>
    <w:semiHidden/>
    <w:qFormat/>
    <w:uiPriority w:val="0"/>
    <w:rPr>
      <w:rFonts w:ascii="楷体" w:hAnsi="楷体" w:eastAsia="楷体" w:cs="楷体"/>
      <w:sz w:val="22"/>
    </w:rPr>
  </w:style>
  <w:style w:type="table" w:customStyle="1" w:styleId="2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4.xml"/><Relationship Id="rId11" Type="http://schemas.openxmlformats.org/officeDocument/2006/relationships/customXml" Target="../customXml/item3.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Info spid="_x0000_s2051"/>
    <customShpInfo spid="_x0000_s2049"/>
    <customShpInfo spid="_x0000_s2052"/>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31802637FF8E4298AD1DCE61A946E12D</vt:lpwstr>
  </property>
</Properties>
</file>

<file path=customXml/item3.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2</TotalTime>
  <ScaleCrop>false</ScaleCrop>
  <LinksUpToDate>false</LinksUpToDate>
  <CharactersWithSpaces>2803</CharactersWithSpaces>
  <Application>WPS Office_11.8.2.11734_F1E327BC-269C-435d-A152-05C5408002CA</Application>
  <DocSecurity>0</DocSecurity>
</Properties>
</file>

<file path=customXml/item4.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User</cp:lastModifiedBy>
  <dcterms:modified xsi:type="dcterms:W3CDTF">2025-07-14T12:13:26Z</dcterms:modified>
  <cp:revision>22</cp:revision>
  <dc:title>“${prdInfo.PRD_NAME}”理财产品</dc:title>
</cp:core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d7493ef-c4ca-4f6a-b64b-2a70d6d5d348}">
  <ds:schemaRefs/>
</ds:datastoreItem>
</file>

<file path=customXml/itemProps3.xml><?xml version="1.0" encoding="utf-8"?>
<ds:datastoreItem xmlns:ds="http://schemas.openxmlformats.org/officeDocument/2006/customXml" ds:itemID="{c8d12210-639c-4f4c-a48c-aabcb2e20320}">
  <ds:schemaRefs/>
</ds:datastoreItem>
</file>

<file path=customXml/itemProps4.xml><?xml version="1.0" encoding="utf-8"?>
<ds:datastoreItem xmlns:ds="http://schemas.openxmlformats.org/officeDocument/2006/customXml" ds:itemID="{2b45812c-7306-41c1-be5c-2e64464f79c0}">
  <ds:schemaRefs/>
</ds:datastoreItem>
</file>

<file path=docProps/app.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0</TotalTime>
  <ScaleCrop>false</ScaleCrop>
  <LinksUpToDate>false</LinksUpToDate>
  <CharactersWithSpaces>2803</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2021-11-18T10:04:00Z</dcterms:created>
  <dc:creator>User</dc:creator>
  <cp:lastModifiedBy>jsyh</cp:lastModifiedBy>
  <dcterms:modified xsi:type="dcterms:W3CDTF">2025-07-15T12:07:01Z</dcterms:modified>
  <dc:title>_x201C__x0024__x007B_prdInfo.PRD_NAME_x007D__x201D_理财产品</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439C3CDABE2145BAAE03D97180E149C4</vt:lpwstr>
  </property>
</Properties>
</file>