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苏银理财恒源最短持有90天</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苏银理财恒源最短持有90天</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2022年06月17日</w:t>
      </w:r>
      <w:r>
        <w:rPr>
          <w:rFonts w:hint="eastAsia" w:ascii="楷体" w:hAnsi="楷体" w:eastAsia="楷体" w:cs="楷体"/>
        </w:rPr>
        <w:t>成立，于</w:t>
      </w:r>
      <w:r>
        <w:rPr>
          <w:rFonts w:hint="eastAsia" w:ascii="楷体" w:hAnsi="楷体" w:eastAsia="楷体" w:cs="楷体"/>
          <w:spacing w:val="-7"/>
        </w:rPr>
        <w:t>2022年06月17日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苏银理财恒源最短持有90天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Z7003122000081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26,844,765,479.91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29,248,266,838.81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31000188000491613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30,056,813,562.1</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102.76%</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苏银理财恒源最短持有90天（芙蓉锦程·优选-新客专享）</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1.089739</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1.089739</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苏银理财恒源最短持有90天（芙蓉锦程·优选-代发客户专享）</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1.089724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1.089724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苏银理财恒源最短持有90天E</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1.090684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1.090684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2.25%-3.05%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苏银理财恒源最短持有90天JS鑫福款</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1.088912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1.088912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2.00%-2.80%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苏银理财恒源最短持有90天（代发专享）</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1.089593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1.089593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2.05%-2.85%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苏银理财恒源最短持有90天G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1.090563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1.090563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苏银理财恒源最短持有90天J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1.090594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1.090594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苏银理财恒源最短持有90天H</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1.088922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1.088922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2.00%-2.80%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苏银理财恒源最短持有90天（芙蓉锦程·优选）</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1.089592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1.089592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2.00%-2.80%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苏银理财恒源最短持有90天A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1.088553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1.088553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2.00%-2.80%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苏银理财恒源最短持有90天C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1.090603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1.090603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2.05%-2.85%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苏银理财恒源最短持有90天D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1.093151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1.093151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苏银理财恒源最短持有90天F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1.09148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1.09148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2.00%-2.80%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44.46%</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54.03%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1.51%</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45.97%</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54.03%</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2,681,929,863.80</w:t>
            </w:r>
          </w:p>
        </w:tc>
        <w:tc>
          <w:tcPr>
            <w:tcW w:w="1800" w:type="dxa"/>
          </w:tcPr>
          <w:p>
            <w:pPr>
              <w:jc w:val="center"/>
              <w:rPr>
                <w:rFonts w:hint="eastAsia" w:ascii="楷体" w:hAnsi="楷体" w:eastAsia="楷体" w:cs="楷体"/>
                <w:sz w:val="22"/>
              </w:rPr>
            </w:pPr>
            <w:r>
              <w:rPr>
                <w:rFonts w:hint="eastAsia" w:ascii="楷体" w:hAnsi="楷体" w:eastAsia="楷体" w:cs="楷体"/>
                <w:sz w:val="22"/>
              </w:rPr>
              <w:t>8.43%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中国农业银行昆山分行202311097219</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634,882,890.65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24建行二级资本债02A</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524,834,252.46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24浦发银行二级资本债01A</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415,647,015.39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24北京银行永续债01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411,808,965.31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24农业银行CD284</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398,632,664.40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中国银行股份有限公司</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392,289,186.85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24华夏银行永续债02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391,036,226.37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24邮储永续债01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340,084,194.39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24长沙银行永续债01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335,920,198.70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1.06%</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ZZGL202504091187</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江苏信托安源3号集合资金信托计划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399,323,545.91</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400,000,000.00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5,000,000.00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81,472,368.65</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100,000,000.00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东吴证券股份有限公司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336,000,104.00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3,411,725.58</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1,328,014.36</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102,944,006.65</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26,844,765,479.91</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25,071,651,609.09</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ascii="楷体" w:hAnsi="楷体" w:cs="Times New Roman"/>
          <w:b w:val="0"/>
          <w:sz w:val="21"/>
        </w:rPr>
      </w:pPr>
      <w:r>
        <w:rPr>
          <w:rFonts w:hint="eastAsia" w:ascii="楷体" w:hAnsi="楷体" w:cs="Times New Roman"/>
          <w:b w:val="0"/>
          <w:sz w:val="21"/>
          <w:lang w:val="en-US" w:eastAsia="zh-CN"/>
        </w:rPr>
        <w:t>1、</w:t>
      </w:r>
      <w:r>
        <w:rPr>
          <w:rFonts w:ascii="楷体" w:hAnsi="楷体" w:cs="Times New Roman"/>
          <w:b w:val="0"/>
          <w:sz w:val="21"/>
        </w:rPr>
        <w:t>运作期回顾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default" w:ascii="Times New Roman" w:hAnsi="Times New Roman"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lang w:val="en-US" w:eastAsia="zh-CN"/>
        </w:rPr>
        <w:t>本产品以存款等低波资产筑底，配置部分优质高评级信用债券，根据市场情况控制久期，保持合理弹性，并积极参与确定性较高的交易机会增厚产品收益，同时严控回撤，进退有度，兼顾低风险偏好和收益性</w:t>
      </w:r>
      <w:r>
        <w:rPr>
          <w:rFonts w:hint="eastAsia" w:ascii="楷体" w:hAnsi="楷体" w:cs="Times New Roman"/>
          <w:b w:val="0"/>
          <w:sz w:val="21"/>
        </w:rPr>
        <w:t>。</w:t>
      </w:r>
    </w:p>
    <w:p>
      <w:pPr>
        <w:rPr>
          <w:rFonts w:hint="eastAsia"/>
        </w:rPr>
      </w:pPr>
      <w:bookmarkStart w:id="1" w:name="_GoBack"/>
      <w:bookmarkEnd w:id="1"/>
    </w:p>
    <w:p>
      <w:pPr>
        <w:pStyle w:val="2"/>
        <w:rPr>
          <w:rFonts w:ascii="楷体" w:hAnsi="楷体" w:cs="Times New Roman"/>
          <w:b w:val="0"/>
          <w:sz w:val="21"/>
        </w:rPr>
      </w:pPr>
      <w:r>
        <w:rPr>
          <w:rFonts w:hint="eastAsia" w:ascii="楷体" w:hAnsi="楷体" w:cs="Times New Roman"/>
          <w:b w:val="0"/>
          <w:sz w:val="21"/>
          <w:lang w:val="en-US" w:eastAsia="zh-CN"/>
        </w:rPr>
        <w:t>2、</w:t>
      </w:r>
      <w:r>
        <w:rPr>
          <w:rFonts w:ascii="楷体" w:hAnsi="楷体" w:cs="Times New Roman"/>
          <w:b w:val="0"/>
          <w:sz w:val="21"/>
        </w:rPr>
        <w:t>后市展望及下阶段投资策略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利率债方面，今年以来，物价持续低位运行，关税背景下或有深化风险，低利率方向延续；变化是财政预算加码后政府杠杆率大幅提升，政府债净融资规模增多且节奏明显前置化，银行表内从资产荒一度变成负债荒，这一情况下半年有望好转，以促进利率债配置资金进一步释放。</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信用债方面，三季度债市或面临宏观读数走弱、资金季节性宽松、信用债供给持续偏弱、央行重启国债买入等有利因素的叠加，当前信用利差虽窄且收益率曲线仍平，但短端资金有望进一步下探，进而带动广谱收益率跟随下行。</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未来，本组合将根据市场情况择机参与交易机会，致力于为广大投资者创造长期稳健的投资回报。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Times New Roman"/>
          <w:b w:val="0"/>
          <w:bCs/>
          <w:kern w:val="0"/>
          <w:sz w:val="21"/>
          <w:szCs w:val="21"/>
          <w:lang w:val="en-US" w:eastAsia="zh-CN" w:bidi="ar-SA"/>
        </w:rPr>
      </w:pPr>
    </w:p>
    <w:p>
      <w:pPr>
        <w:pStyle w:val="2"/>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3、流动性风险分析</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流动性风险方面，本产品持仓资产以标准化债权类资产为主，变现能力较强，同时注重调优持仓结构，确保流动性处于合理水平。</w:t>
      </w:r>
    </w:p>
    <w:p>
      <w:pPr>
        <w:pStyle w:val="4"/>
        <w:spacing w:before="0" w:line="240" w:lineRule="auto"/>
        <w:ind w:left="0" w:right="0" w:firstLine="0" w:firstLineChars="0"/>
        <w:rPr>
          <w:rFonts w:hint="eastAsia" w:ascii="楷体" w:hAnsi="楷体" w:eastAsia="楷体" w:cs="楷体"/>
          <w:sz w:val="21"/>
        </w:rPr>
      </w:pP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CC6FF1"/>
    <w:multiLevelType w:val="singleLevel"/>
    <w:tmpl w:val="B1CC6FF1"/>
    <w:lvl w:ilvl="0" w:tentative="0">
      <w:start w:val="3"/>
      <w:numFmt w:val="chineseCounting"/>
      <w:suff w:val="nothing"/>
      <w:lvlText w:val="（%1）"/>
      <w:lvlJc w:val="left"/>
      <w:rPr>
        <w:rFonts w:hint="eastAsia"/>
      </w:rPr>
    </w:lvl>
  </w:abstractNum>
  <w:abstractNum w:abstractNumId="1">
    <w:nsid w:val="3D950AF9"/>
    <w:multiLevelType w:val="singleLevel"/>
    <w:tmpl w:val="3D950AF9"/>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05CA7BA4"/>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47feeb-0df4-4e30-8a52-53ae2898a7f5}">
  <ds:schemaRefs/>
</ds:datastoreItem>
</file>

<file path=customXml/itemProps3.xml><?xml version="1.0" encoding="utf-8"?>
<ds:datastoreItem xmlns:ds="http://schemas.openxmlformats.org/officeDocument/2006/customXml" ds:itemID="{b3e19156-ce4a-4e0c-a29a-d9502146b4fc}">
  <ds:schemaRefs/>
</ds:datastoreItem>
</file>

<file path=customXml/itemProps4.xml><?xml version="1.0" encoding="utf-8"?>
<ds:datastoreItem xmlns:ds="http://schemas.openxmlformats.org/officeDocument/2006/customXml" ds:itemID="{fa80b969-ef90-4929-a4e1-dc6d66a39f49}">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2025-07-15T11:28:42Z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2D36920E3A2B446AB42B9678FF3D9EA0</vt:lpwstr>
  </property>
</Properties>
</file>