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苏银理财恒源1年定开11期</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2025年二季度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苏银理财恒源1年定开11期</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2021年05月19日</w:t>
      </w:r>
      <w:r>
        <w:rPr>
          <w:rFonts w:hint="eastAsia" w:ascii="楷体" w:hAnsi="楷体" w:eastAsia="楷体" w:cs="楷体"/>
        </w:rPr>
        <w:t>成立，于</w:t>
      </w:r>
      <w:r>
        <w:rPr>
          <w:rFonts w:hint="eastAsia" w:ascii="楷体" w:hAnsi="楷体" w:eastAsia="楷体" w:cs="楷体"/>
          <w:spacing w:val="-7"/>
        </w:rPr>
        <w:t>2021年05月19日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苏银理财恒源1年定开11期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Z7003121000048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2,735,875,071.80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2,820,118,628.66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31000188000429575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3,075,030,588.82</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109.04%</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苏银理财恒源1年定开11期M</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1.031505</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1.031505</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3.10%-3.70%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苏银理财恒源1年定开11期ZS（自动赎回）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1.031505</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1.031505</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3.10%-3.70%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苏银理财恒源1年定开11期D</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1.032019</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1.073864</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3.15%-3.75%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苏银理财恒源1年定开11期F</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1.030471</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1.070729</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3.00%-3.60%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苏银理财恒源1年定开11期G</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1.030989</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1.072305</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3.05%-3.65%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苏银理财恒源1年定开11期J</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1.031503</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1.072819</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3.10%-3.70%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苏银理财恒源1年定开11期ZA（自动赎回）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1.03047</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1.070728</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3.00%-3.60%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苏银理财恒源1年定开11期ZF（自动赎回）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1.030471</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1.070729</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3.00%-3.60%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苏银理财恒源1年定开11期A</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1.030469</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1.160584</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3.00%-3.60%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苏银理财恒源1年定开11期B</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1.030778</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1.162038</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3.03%-3.63%</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50.90%</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48.86%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50.90%</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49.10%</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现金及银行存款</w:t>
            </w:r>
          </w:p>
        </w:tc>
        <w:tc>
          <w:tcPr>
            <w:tcW w:w="1275" w:type="dxa"/>
          </w:tcPr>
          <w:p>
            <w:pPr>
              <w:jc w:val="center"/>
              <w:rPr>
                <w:rFonts w:hint="eastAsia" w:ascii="楷体" w:hAnsi="楷体" w:eastAsia="楷体" w:cs="楷体"/>
                <w:sz w:val="22"/>
              </w:rPr>
            </w:pPr>
            <w:r>
              <w:rPr>
                <w:rFonts w:hint="eastAsia" w:ascii="楷体" w:hAnsi="楷体" w:eastAsia="楷体" w:cs="楷体"/>
                <w:sz w:val="22"/>
              </w:rPr>
              <w:t>现金及银行存款</w:t>
            </w:r>
          </w:p>
        </w:tc>
        <w:tc>
          <w:tcPr>
            <w:tcW w:w="2235" w:type="dxa"/>
          </w:tcPr>
          <w:p>
            <w:pPr>
              <w:jc w:val="center"/>
              <w:rPr>
                <w:rFonts w:hint="eastAsia" w:ascii="楷体" w:hAnsi="楷体" w:eastAsia="楷体" w:cs="楷体"/>
                <w:sz w:val="22"/>
              </w:rPr>
            </w:pPr>
            <w:r>
              <w:rPr>
                <w:rFonts w:hint="eastAsia" w:ascii="楷体" w:hAnsi="楷体" w:eastAsia="楷体" w:cs="楷体"/>
                <w:sz w:val="22"/>
              </w:rPr>
              <w:t>943,491,355.51</w:t>
            </w:r>
          </w:p>
        </w:tc>
        <w:tc>
          <w:tcPr>
            <w:tcW w:w="1800" w:type="dxa"/>
          </w:tcPr>
          <w:p>
            <w:pPr>
              <w:jc w:val="center"/>
              <w:rPr>
                <w:rFonts w:hint="eastAsia" w:ascii="楷体" w:hAnsi="楷体" w:eastAsia="楷体" w:cs="楷体"/>
                <w:sz w:val="22"/>
              </w:rPr>
            </w:pPr>
            <w:r>
              <w:rPr>
                <w:rFonts w:hint="eastAsia" w:ascii="楷体" w:hAnsi="楷体" w:eastAsia="楷体" w:cs="楷体"/>
                <w:sz w:val="22"/>
              </w:rPr>
              <w:t>28.40%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24锡城01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102,565,150.68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23雪浪01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82,600,767.12</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22东城投</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81,906,794.52</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22江阴04</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76,875,554.80</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24枫桥03</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51,310,479.45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24嘉善03</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51,162,273.98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银行存款20250116-1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45,122,543.93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银行存款20250110-1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43,510,716.00</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24特别国债06</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43,207,195.26</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1.30%</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469,208.48</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141,446.97</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回购</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159,999,840.00</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2,735,875,071.80</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2,735,875,071.80</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四.投资运作情况</w:t>
      </w:r>
    </w:p>
    <w:p>
      <w:pPr>
        <w:pStyle w:val="2"/>
        <w:rPr>
          <w:rFonts w:hint="eastAsia" w:ascii="楷体" w:hAnsi="楷体" w:eastAsia="楷体" w:cs="楷体"/>
          <w:b w:val="0"/>
          <w:sz w:val="21"/>
        </w:rPr>
      </w:pPr>
      <w:r>
        <w:rPr>
          <w:rFonts w:hint="eastAsia" w:ascii="楷体" w:hAnsi="楷体" w:eastAsia="楷体" w:cs="楷体"/>
          <w:b w:val="0"/>
          <w:sz w:val="21"/>
        </w:rPr>
        <w:t>1、运作期回顾</w:t>
      </w:r>
    </w:p>
    <w:p>
      <w:pPr>
        <w:pStyle w:val="4"/>
        <w:spacing w:before="0" w:line="240" w:lineRule="auto"/>
        <w:ind w:left="0" w:right="0" w:firstLine="0" w:firstLineChars="0"/>
        <w:rPr>
          <w:rFonts w:hint="eastAsia" w:ascii="楷体" w:hAnsi="楷体" w:eastAsia="楷体" w:cs="楷体"/>
          <w:spacing w:val="8"/>
          <w:sz w:val="21"/>
        </w:rPr>
      </w:pPr>
      <w:r>
        <w:rPr>
          <w:rFonts w:hint="eastAsia" w:ascii="楷体" w:hAnsi="楷体" w:eastAsia="楷体" w:cs="楷体"/>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二季度债券市场整体呈震荡下行趋势，产品整体表现较为稳健，后续有望继续提供长期稳健收益。</w:t>
      </w:r>
    </w:p>
    <w:p>
      <w:pPr>
        <w:pStyle w:val="4"/>
        <w:spacing w:before="43" w:line="275" w:lineRule="auto"/>
        <w:ind w:right="1799" w:firstLine="226" w:firstLineChars="100"/>
        <w:rPr>
          <w:rFonts w:hint="eastAsia" w:ascii="楷体" w:hAnsi="楷体" w:eastAsia="楷体" w:cs="楷体"/>
          <w:spacing w:val="8"/>
          <w:sz w:val="21"/>
        </w:rPr>
      </w:pPr>
    </w:p>
    <w:p>
      <w:pPr>
        <w:pStyle w:val="2"/>
        <w:rPr>
          <w:rFonts w:hint="eastAsia" w:ascii="楷体" w:hAnsi="楷体" w:eastAsia="楷体" w:cs="楷体"/>
          <w:b w:val="0"/>
          <w:sz w:val="21"/>
        </w:rPr>
      </w:pPr>
      <w:r>
        <w:rPr>
          <w:rFonts w:hint="eastAsia" w:ascii="楷体" w:hAnsi="楷体" w:eastAsia="楷体" w:cs="楷体"/>
          <w:b w:val="0"/>
          <w:sz w:val="21"/>
        </w:rPr>
        <w:t>2、后市展望及下阶段投资策略</w:t>
      </w:r>
    </w:p>
    <w:p>
      <w:pPr>
        <w:pStyle w:val="4"/>
        <w:spacing w:before="0" w:line="240" w:lineRule="auto"/>
        <w:ind w:left="0" w:right="0" w:firstLine="0" w:firstLineChars="0"/>
        <w:jc w:val="both"/>
        <w:rPr>
          <w:rFonts w:hint="eastAsia" w:ascii="楷体" w:hAnsi="楷体" w:eastAsia="楷体" w:cs="楷体"/>
          <w:sz w:val="21"/>
        </w:rPr>
      </w:pPr>
      <w:r>
        <w:rPr>
          <w:rFonts w:hint="eastAsia" w:ascii="楷体" w:hAnsi="楷体" w:eastAsia="楷体" w:cs="楷体"/>
          <w:spacing w:val="9"/>
          <w:sz w:val="21"/>
        </w:rPr>
        <w:t xml:space="preserve">    从基本面看，二季度GDP增速为5.2%，经济运行总体平稳。其中工业生产增长较快，制造业温和回暖。6月规模以上工业增加值同比增长6.8%，环比增长0.50%；制造业采购经理指数(PMI)为49.7%，较5月上升0.2个百分点。金融数据方面，6月社会融资规模增量4.2万亿元，同比多增9008亿元，政府债券和对实体经济发放的贷款是拉动社会融资规模较快增长的主要因素。经济数据方面，5月社零增速冲高至6.4%之后，6月社零略有回落，同比增长4.8%，预期增5.6%，6月增速下滑主要原因在于餐饮收入增速明显下滑。物价方面，通缩压力仍然存在。4、5月CPI同比均为-0.1%，环比为0.1%和-0.2%，PPI同比为-2.7%和-3.3%，环比均为-0.4%；6月CPI同比为0.1%，环比为-0.1%，PPI同比为-3.6%，环比为-0.4%。总体二季度经济景气度虽有所回落，但仍顶住压力、迎难而上，呈现出总体平稳、稳中向好的态势。由于特朗普关税事件的持续发酵，外部不稳定不确定因素较多，国内有效需求不足，经济回升向好基础仍需加力巩固。</w:t>
      </w:r>
      <w:r>
        <w:rPr>
          <w:rFonts w:hint="eastAsia" w:ascii="楷体" w:hAnsi="楷体" w:eastAsia="楷体" w:cs="楷体"/>
          <w:spacing w:val="9"/>
          <w:sz w:val="21"/>
        </w:rPr>
        <w:br w:type="textWrapping"/>
      </w:r>
      <w:r>
        <w:rPr>
          <w:rFonts w:hint="eastAsia" w:ascii="楷体" w:hAnsi="楷体" w:eastAsia="楷体" w:cs="楷体"/>
          <w:spacing w:val="9"/>
          <w:sz w:val="21"/>
        </w:rPr>
        <w:t xml:space="preserve">    债券市场方面，受货币政策延续宽松基调等影响，二季度收益率整体呈现“宽幅震荡、中枢下行”特征。4月份受美国加征关税、基本面边际走弱因素影响，中长端利率大幅下行，资金面也有所回暖，因此债市走出牛平特征。5月中旬开始，国债收益率触底后快速反弹；6月中下旬开始，随着央行放量投放，资金利率超预期宽松，叠加基本面趋弱引发配置资金“跨季抢跑”，收益率再度下行。</w:t>
      </w:r>
      <w:r>
        <w:rPr>
          <w:rFonts w:hint="eastAsia" w:ascii="楷体" w:hAnsi="楷体" w:eastAsia="楷体" w:cs="楷体"/>
          <w:spacing w:val="9"/>
          <w:sz w:val="21"/>
        </w:rPr>
        <w:br w:type="textWrapping"/>
      </w:r>
      <w:r>
        <w:rPr>
          <w:rFonts w:hint="eastAsia" w:ascii="楷体" w:hAnsi="楷体" w:eastAsia="楷体" w:cs="楷体"/>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560" w:firstLineChars="200"/>
        <w:rPr>
          <w:rFonts w:hint="eastAsia" w:ascii="楷体" w:hAnsi="楷体" w:eastAsia="楷体" w:cs="楷体"/>
          <w:bCs/>
          <w:kern w:val="0"/>
          <w:szCs w:val="21"/>
        </w:rPr>
      </w:pPr>
    </w:p>
    <w:p>
      <w:pPr>
        <w:pStyle w:val="2"/>
        <w:rPr>
          <w:rFonts w:hint="eastAsia" w:ascii="楷体" w:hAnsi="楷体" w:eastAsia="楷体" w:cs="楷体"/>
          <w:b w:val="0"/>
          <w:sz w:val="21"/>
        </w:rPr>
      </w:pPr>
      <w:r>
        <w:rPr>
          <w:rFonts w:hint="eastAsia" w:ascii="楷体" w:hAnsi="楷体" w:eastAsia="楷体" w:cs="楷体"/>
          <w:b w:val="0"/>
          <w:sz w:val="21"/>
        </w:rPr>
        <w:t>3、流动性风险分析</w:t>
      </w:r>
    </w:p>
    <w:p>
      <w:pPr>
        <w:pStyle w:val="4"/>
        <w:spacing w:before="0" w:line="240" w:lineRule="auto"/>
        <w:ind w:left="0" w:right="0" w:firstLine="0" w:firstLineChars="0"/>
        <w:rPr>
          <w:rFonts w:hint="eastAsia" w:ascii="楷体" w:hAnsi="楷体" w:eastAsia="楷体" w:cs="楷体"/>
          <w:sz w:val="21"/>
        </w:rPr>
      </w:pPr>
      <w:r>
        <w:rPr>
          <w:rFonts w:hint="eastAsia" w:ascii="楷体" w:hAnsi="楷体" w:eastAsia="楷体" w:cs="楷体"/>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560" w:firstLineChars="200"/>
        <w:rPr>
          <w:rFonts w:hint="eastAsia" w:ascii="楷体" w:hAnsi="楷体" w:eastAsia="楷体" w:cs="楷体"/>
          <w:bCs/>
          <w:kern w:val="0"/>
          <w:szCs w:val="21"/>
        </w:rPr>
      </w:pPr>
    </w:p>
    <w:p>
      <w:pPr>
        <w:rPr>
          <w:rFonts w:hint="eastAsia" w:ascii="楷体" w:hAnsi="楷体" w:eastAsia="楷体" w:cs="楷体"/>
        </w:rPr>
      </w:pPr>
    </w:p>
    <w:p>
      <w:pPr>
        <w:ind w:firstLine="560" w:firstLineChars="200"/>
        <w:rPr>
          <w:rFonts w:hint="eastAsia" w:ascii="楷体" w:hAnsi="楷体" w:eastAsia="楷体" w:cs="楷体"/>
          <w:bCs/>
          <w:kern w:val="0"/>
          <w:szCs w:val="21"/>
        </w:rPr>
      </w:pP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2050"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2051"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204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205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7F9FE59"/>
    <w:multiLevelType w:val="singleLevel"/>
    <w:tmpl w:val="D7F9FE59"/>
    <w:lvl w:ilvl="0" w:tentative="0">
      <w:start w:val="3"/>
      <w:numFmt w:val="decimal"/>
      <w:suff w:val="nothing"/>
      <w:lvlText w:val="%1）"/>
      <w:lvlJc w:val="left"/>
    </w:lvl>
  </w:abstractNum>
  <w:abstractNum w:abstractNumId="1">
    <w:nsid w:val="DCBA6B53"/>
    <w:multiLevelType w:val="singleLevel"/>
    <w:tmpl w:val="DCBA6B53"/>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43D5387B"/>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49"/>
    <customShpInfo spid="_x0000_s2052"/>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879f721-436c-47d0-b49b-feb786aa52be}">
  <ds:schemaRefs/>
</ds:datastoreItem>
</file>

<file path=customXml/itemProps3.xml><?xml version="1.0" encoding="utf-8"?>
<ds:datastoreItem xmlns:ds="http://schemas.openxmlformats.org/officeDocument/2006/customXml" ds:itemID="{642b54be-1969-41e1-abd8-a4a2b83305ed}">
  <ds:schemaRefs/>
</ds:datastoreItem>
</file>

<file path=customXml/itemProps4.xml><?xml version="1.0" encoding="utf-8"?>
<ds:datastoreItem xmlns:ds="http://schemas.openxmlformats.org/officeDocument/2006/customXml" ds:itemID="{a48767ca-e35f-4711-af2c-50e315d61189}">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2025-07-16T02:00:42Z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B406A33FFFB34081B81075D069FB62CB</vt:lpwstr>
  </property>
</Properties>
</file>