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苏银理财恒源6月定开10期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苏银理财恒源6月定开10期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2022年06月14日</w:t>
      </w:r>
      <w:r>
        <w:rPr>
          <w:rFonts w:hint="eastAsia" w:ascii="楷体" w:hAnsi="楷体" w:eastAsia="楷体" w:cs="楷体"/>
        </w:rPr>
        <w:t>成立，于</w:t>
      </w:r>
      <w:r>
        <w:rPr>
          <w:rFonts w:hint="eastAsia" w:ascii="楷体" w:hAnsi="楷体" w:eastAsia="楷体" w:cs="楷体"/>
          <w:spacing w:val="-7"/>
        </w:rPr>
        <w:t>2022年06月14日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苏银理财恒源6月定开10期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Z7003122000076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330,117,155.00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334,117,598.65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31000188000491024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334,148,647.21</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苏银理财恒源6月定开10期M</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1.012608</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1.027588</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2.45%-3.25%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苏银理财恒源6月定开10期A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1.011893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1.091727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苏银理财恒源6月定开10期C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1.012341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1.095066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苏银理财恒源6月定开10期D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1.012605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1.095311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苏银理财恒源6月定开10期F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1.011896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1.081695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苏银理财恒源6月定开10期G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1.012361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1.084232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2.40%-3.20%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0.95%</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99.05%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0.95%</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99.05%</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24特别国债06</w:t>
            </w:r>
          </w:p>
        </w:tc>
        <w:tc>
          <w:tcPr>
            <w:tcW w:w="1275" w:type="dxa"/>
          </w:tcPr>
          <w:p>
            <w:pPr>
              <w:jc w:val="center"/>
              <w:rPr>
                <w:rFonts w:hint="eastAsia" w:ascii="楷体" w:hAnsi="楷体" w:eastAsia="楷体" w:cs="楷体"/>
                <w:sz w:val="22"/>
              </w:rPr>
            </w:pPr>
            <w:r>
              <w:rPr>
                <w:rFonts w:hint="eastAsia" w:ascii="楷体" w:hAnsi="楷体" w:eastAsia="楷体" w:cs="楷体"/>
                <w:sz w:val="22"/>
              </w:rPr>
              <w:t>债券</w:t>
            </w:r>
          </w:p>
        </w:tc>
        <w:tc>
          <w:tcPr>
            <w:tcW w:w="2235" w:type="dxa"/>
          </w:tcPr>
          <w:p>
            <w:pPr>
              <w:jc w:val="center"/>
              <w:rPr>
                <w:rFonts w:hint="eastAsia" w:ascii="楷体" w:hAnsi="楷体" w:eastAsia="楷体" w:cs="楷体"/>
                <w:sz w:val="22"/>
              </w:rPr>
            </w:pPr>
            <w:r>
              <w:rPr>
                <w:rFonts w:hint="eastAsia" w:ascii="楷体" w:hAnsi="楷体" w:eastAsia="楷体" w:cs="楷体"/>
                <w:sz w:val="22"/>
              </w:rPr>
              <w:t>10,171,349.12</w:t>
            </w:r>
          </w:p>
        </w:tc>
        <w:tc>
          <w:tcPr>
            <w:tcW w:w="1800" w:type="dxa"/>
          </w:tcPr>
          <w:p>
            <w:pPr>
              <w:jc w:val="center"/>
              <w:rPr>
                <w:rFonts w:hint="eastAsia" w:ascii="楷体" w:hAnsi="楷体" w:eastAsia="楷体" w:cs="楷体"/>
                <w:sz w:val="22"/>
              </w:rPr>
            </w:pPr>
            <w:r>
              <w:rPr>
                <w:rFonts w:hint="eastAsia" w:ascii="楷体" w:hAnsi="楷体" w:eastAsia="楷体" w:cs="楷体"/>
                <w:sz w:val="22"/>
              </w:rPr>
              <w:t>2.62%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24广发银行永续债01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9,343,976.94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厦门国际银行定期存款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9,210,798.17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南京银行协议存款(常州)</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8,768,947.16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24工行永续债01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8,233,865.91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8,129,558.72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24平安银行CD129</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4,720,939.18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厦门国际银行定期存款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4,592,204.38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4,493,809.75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厦门国际银行定期存款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3,701,748.58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0.95%</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24,483,739.94</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25,581.90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16,757.66</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330,117,155.00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330,117,155.00</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ascii="楷体" w:hAnsi="楷体"/>
          <w:b w:val="0"/>
          <w:sz w:val="21"/>
        </w:rPr>
      </w:pPr>
      <w:r>
        <w:rPr>
          <w:rFonts w:ascii="楷体" w:hAnsi="楷体"/>
          <w:b w:val="0"/>
          <w:sz w:val="21"/>
        </w:rPr>
        <w:t>1</w:t>
      </w:r>
      <w:r>
        <w:rPr>
          <w:rFonts w:hint="eastAsia" w:ascii="楷体" w:hAnsi="楷体"/>
          <w:b w:val="0"/>
          <w:sz w:val="21"/>
          <w:lang w:eastAsia="zh-CN"/>
        </w:rPr>
        <w:t>、</w:t>
      </w:r>
      <w:r>
        <w:rPr>
          <w:rFonts w:hint="eastAsia" w:ascii="楷体" w:hAnsi="楷体"/>
          <w:b w:val="0"/>
          <w:sz w:val="21"/>
        </w:rPr>
        <w:t>运作期</w:t>
      </w:r>
      <w:r>
        <w:rPr>
          <w:rFonts w:ascii="楷体" w:hAnsi="楷体"/>
          <w:b w:val="0"/>
          <w:sz w:val="21"/>
        </w:rPr>
        <w:t>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本理财产品以固收类资产为主，通过对宏观经济、市场利率、债券市场需求供给的变化、信用风险等进行充分研判，主动构建并调整债券资产投资组合，力争获取超额收益。</w:t>
      </w:r>
    </w:p>
    <w:p>
      <w:pPr>
        <w:pStyle w:val="2"/>
        <w:rPr>
          <w:rFonts w:ascii="楷体" w:hAnsi="楷体"/>
          <w:b w:val="0"/>
          <w:sz w:val="21"/>
        </w:rPr>
      </w:pPr>
    </w:p>
    <w:p>
      <w:pPr>
        <w:pStyle w:val="2"/>
        <w:rPr>
          <w:rFonts w:ascii="楷体" w:hAnsi="楷体"/>
          <w:b w:val="0"/>
          <w:sz w:val="21"/>
        </w:rPr>
      </w:pPr>
      <w:r>
        <w:rPr>
          <w:rFonts w:ascii="楷体" w:hAnsi="楷体"/>
          <w:b w:val="0"/>
          <w:sz w:val="21"/>
        </w:rPr>
        <w:t>2</w:t>
      </w:r>
      <w:r>
        <w:rPr>
          <w:rFonts w:hint="eastAsia" w:ascii="楷体" w:hAnsi="楷体"/>
          <w:b w:val="0"/>
          <w:sz w:val="21"/>
          <w:lang w:eastAsia="zh-CN"/>
        </w:rPr>
        <w:t>、</w:t>
      </w:r>
      <w:r>
        <w:rPr>
          <w:rFonts w:ascii="楷体" w:hAnsi="楷体"/>
          <w:b w:val="0"/>
          <w:sz w:val="21"/>
        </w:rPr>
        <w:t>后市展望及下阶段投资策略</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Times New Roman"/>
          <w:b w:val="0"/>
          <w:bCs/>
          <w:kern w:val="0"/>
          <w:sz w:val="21"/>
          <w:szCs w:val="21"/>
          <w:lang w:val="en-US" w:eastAsia="zh-CN" w:bidi="ar-SA"/>
        </w:rPr>
      </w:pPr>
    </w:p>
    <w:p>
      <w:pPr>
        <w:pStyle w:val="2"/>
        <w:rPr>
          <w:rFonts w:ascii="楷体" w:hAnsi="楷体"/>
          <w:b w:val="0"/>
          <w:sz w:val="21"/>
        </w:rPr>
      </w:pPr>
      <w:r>
        <w:rPr>
          <w:rFonts w:hint="eastAsia" w:ascii="楷体" w:hAnsi="楷体"/>
          <w:b w:val="0"/>
          <w:sz w:val="21"/>
        </w:rPr>
        <w:t>3</w:t>
      </w:r>
      <w:r>
        <w:rPr>
          <w:rFonts w:hint="eastAsia" w:ascii="楷体" w:hAnsi="楷体"/>
          <w:b w:val="0"/>
          <w:sz w:val="21"/>
          <w:lang w:eastAsia="zh-CN"/>
        </w:rPr>
        <w:t>、</w:t>
      </w:r>
      <w:r>
        <w:rPr>
          <w:rFonts w:hint="eastAsia" w:ascii="楷体" w:hAnsi="楷体"/>
          <w:b w:val="0"/>
          <w:sz w:val="21"/>
        </w:rPr>
        <w:t>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本产品持仓资产以标准化债权类资产为主，变现能力较强，通过组合久期管理、流动性指标监测等多项措施持续加强流动性管理，有效控制产品的流动性风险。</w:t>
      </w:r>
    </w:p>
    <w:p>
      <w:pPr>
        <w:pStyle w:val="4"/>
        <w:spacing w:before="0" w:line="240" w:lineRule="auto"/>
        <w:ind w:left="0" w:right="0" w:firstLine="0" w:firstLineChars="0"/>
        <w:rPr>
          <w:rFonts w:hint="eastAsia" w:ascii="楷体" w:hAnsi="楷体" w:eastAsia="楷体" w:cs="楷体"/>
          <w:sz w:val="21"/>
        </w:rPr>
      </w:pPr>
      <w:bookmarkStart w:id="1" w:name="_GoBack"/>
      <w:bookmarkEnd w:id="1"/>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9465BD"/>
    <w:multiLevelType w:val="singleLevel"/>
    <w:tmpl w:val="B99465BD"/>
    <w:lvl w:ilvl="0" w:tentative="0">
      <w:start w:val="3"/>
      <w:numFmt w:val="decimal"/>
      <w:suff w:val="nothing"/>
      <w:lvlText w:val="%1）"/>
      <w:lvlJc w:val="left"/>
    </w:lvl>
  </w:abstractNum>
  <w:abstractNum w:abstractNumId="1">
    <w:nsid w:val="651422BE"/>
    <w:multiLevelType w:val="singleLevel"/>
    <w:tmpl w:val="651422BE"/>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56F26E9E"/>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a5a886e-ab30-4d57-a667-0e39135c594e}">
  <ds:schemaRefs/>
</ds:datastoreItem>
</file>

<file path=customXml/itemProps3.xml><?xml version="1.0" encoding="utf-8"?>
<ds:datastoreItem xmlns:ds="http://schemas.openxmlformats.org/officeDocument/2006/customXml" ds:itemID="{cb720d66-2e89-4bb2-99eb-91a4e82524dc}">
  <ds:schemaRefs/>
</ds:datastoreItem>
</file>

<file path=customXml/itemProps4.xml><?xml version="1.0" encoding="utf-8"?>
<ds:datastoreItem xmlns:ds="http://schemas.openxmlformats.org/officeDocument/2006/customXml" ds:itemID="{c20f143b-6a91-425f-948f-0c62b24208e7}">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2025-07-15T12:08:54Z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FA5F7BD694B246B8B1F8CDBBC66F7AF3</vt:lpwstr>
  </property>
</Properties>
</file>