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苏银理财恒源2年定开2015期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2025年二季度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苏银理财恒源2年定开2015期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2021年01月06日</w:t>
      </w:r>
      <w:r>
        <w:rPr>
          <w:rFonts w:ascii="楷体" w:eastAsia="楷体" w:hAnsi="楷体" w:cs="楷体" w:hint="eastAsia"/>
        </w:rPr>
        <w:t xml:space="preserve">成立，于</w:t>
      </w:r>
      <w:r>
        <w:rPr>
          <w:rFonts w:ascii="楷体" w:eastAsia="楷体" w:hAnsi="楷体" w:cs="楷体" w:hint="eastAsia"/>
          <w:spacing w:val="-7"/>
        </w:rPr>
        <w:t xml:space="preserve">2021年01月06日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苏银理财恒源2年定开2015期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Z7003121000087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2,027,322,685.81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2,054,797,116.71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31000188000404856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2,517,343,087.6</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122.51%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苏银理财恒源2年定开2015期F</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1.01357</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1.105879</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中债-新综合全价(1-3年)指数收益率+0.1%</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苏银理财恒源2年定开2015期A</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1.013552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1.203439</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中债-新综合全价(1-3年)指数收益率+0.1%</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39.79%</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53.55%</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5.25%</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1.41%</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45.04%</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54.96%</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中粮信托-栗泽4号-京东白条</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非标准化债权类资产</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319,504,836.99</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12.56%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中信信托-苏赢55号-无锡高发-2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200,726,946.64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7.89%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25建城投</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101,131,576.71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3.98%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大成深证基准做市信用债ETF</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公募基金</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100,938,118.80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3.97%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25扬旅02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91,416,111.78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3.59%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中信信托-苏赢55号-无锡高发-1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90,347,943.26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3.55%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大家-长煜4号-第2期-蚂蚁借呗-优先</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84,661,298.55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3.33%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25句容04</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82,824,766.02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3.26%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25连城Y2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81,551,979.18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3.21%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25开元01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81,181,147.40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3.19%</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中粮信托-栗泽4号-京东白条</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560</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318,000,000.00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无锡市高发投资发展集团有限公司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中信信托-苏赢55号-无锡高发-2</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595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无锡市高发投资发展集团有限公司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中信信托-苏赢55号-无锡高发-1</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595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90,000,000.00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大家-长煜4号-第2期-蚂蚁借呗-优先</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226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84,000,000.00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民生通惠-京惠2号3期-优A2-京东</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526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民生通惠-京惠2号3期-中间-京东</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557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循环期按年付息不还本，摊还期每月过手摊还本息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民生通惠-京惠2号3期-优B-京东</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557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大家-长煜4号-第2期-蚂蚁借呗-次级</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467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28,000,000.00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京东导流、信托自主审核通过的借款人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无锡市高发投资发展集团有限公司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2018-09-25</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17,105,000,000.00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从事企业资产的收购、重组、转让；利用自有资金对外投资；受托资产管理；城市基础设施建设和管理；土地平整；建设工程施工；自有房屋租赁（不含融资租赁）；物业管理。（依法须经批准的项目，经相关部门批准后方可开展经营活动）一般项目：企业管理咨询（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无锡市建融实业有限公司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258491.SH</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25建融01</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600,000.00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60,000,000.00</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东吴证券股份有限公司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258446.SH</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25徐新01</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700,000.00</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70,000,000.00</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29,735,209.39</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513,631.12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102,727.00</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2,027,322,685.81</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2,027,522,685.81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二季度债券市场整体呈震荡下行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从基本面看，二季度GDP增速为5.2%，经济运行总体平稳。其中工业生产增长较快，制造业温和回暖。6月规模以上工业增加值同比增长6.8%，环比增长0.50%；制造业采购经理指数(PMI)为49.7%，较5月上升0.2个百分点。金融数据方面，6月社会融资规模增量4.2万亿元，同比多增9008亿元，政府债券和对实体经济发放的贷款是拉动社会融资规模较快增长的主要因素。经济数据方面，5月社零增速冲高至6.4%之后，6月社零略有回落，同比增长4.8%，预期增5.6%，6月增速下滑主要原因在于餐饮收入增速明显下滑。物价方面，通缩压力仍然存在。4、5月CPI同比均为-0.1%，环比为0.1%和-0.2%，PPI同比为-2.7%和-3.3%，环比均为-0.4%；6月CPI同比为0.1%，环比为-0.1%，PPI同比为-3.6%，环比为-0.4%。总体二季度经济景气度虽有所回落，但仍顶住压力、迎难而上，呈现出总体平稳、稳中向好的态势。由于特朗普关税事件的持续发酵，外部不稳定不确定因素较多，国内有效需求不足，经济回升向好基础仍需加力巩固。</w:t>
      </w:r>
      <w:r>
        <w:rPr>
          <w:rFonts w:ascii="楷体" w:eastAsia="楷体" w:hAnsi="楷体" w:cs="楷体" w:hint="eastAsia"/>
          <w:spacing w:val="9"/>
          <w:sz w:val="21"/>
        </w:rPr>
        <w:br/>
      </w:r>
      <w:r>
        <w:rPr>
          <w:rFonts w:ascii="楷体" w:eastAsia="楷体" w:hAnsi="楷体" w:cs="楷体" w:hint="eastAsia"/>
          <w:spacing w:val="9"/>
          <w:sz w:val="21"/>
        </w:rPr>
        <w:t xml:space="preserve">    债券市场方面，受货币政策延续宽松基调等影响，二季度收益率整体呈现“宽幅震荡、中枢下行”特征。4月份受美国加征关税、基本面边际走弱因素影响，中长端利率大幅下行，资金面也有所回暖，因此债市走出牛平特征。5月中旬开始，国债收益率触底后快速反弹；6月中下旬开始，随着央行放量投放，资金利率超预期宽松，叠加基本面趋弱引发配置资金“跨季抢跑”，收益率再度下行。</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bookmarkStart w:id="1" w:name="_GoBack"/>
      <w:bookmarkEnd w:id="1"/>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A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DengXian">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4078"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4080"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4081"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4083"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DengXian" w:eastAsia="DengXian" w:hAnsi="DengXian"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2</TotalTime>
  <Pages>4</Pages>
  <Words>419</Words>
  <Characters>2389</Characters>
  <Application>WPS Office_11.8.2.11734_F1E327BC-269C-435d-A152-05C5408002CA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User</cp:lastModifiedBy>
  <cp:revision>22</cp:revision>
  <dcterms:created xsi:type="dcterms:W3CDTF">2021-11-18T10:04:00Z</dcterms:created>
  <dcterms:modified xsi:type="dcterms:W3CDTF">2025-07-16T02:54:50Z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2052-11.8.2.11734</vt:lpstr>
  </property>
  <property fmtid="{D5CDD505-2E9C-101B-9397-08002B2CF9AE}" pid="3" name="ICV">
    <vt:lpstr>31802637FF8E4298AD1DCE61A946E12D</vt:lpstr>
  </property>
</Properties>
</file>