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sz w:val="36"/>
          <w:szCs w:val="36"/>
        </w:rPr>
        <w:t>“</w:t>
      </w:r>
      <w:r>
        <w:rPr>
          <w:rFonts w:hint="eastAsia" w:ascii="楷体" w:hAnsi="楷体" w:eastAsia="楷体" w:cs="楷体"/>
          <w:b/>
          <w:bCs/>
          <w:spacing w:val="-1"/>
          <w:sz w:val="36"/>
          <w:szCs w:val="36"/>
        </w:rPr>
        <w:t>苏银理财恒源6月定开11期</w:t>
      </w:r>
      <w:r>
        <w:rPr>
          <w:rFonts w:hint="eastAsia" w:ascii="楷体" w:hAnsi="楷体" w:eastAsia="楷体" w:cs="楷体"/>
          <w:b/>
          <w:sz w:val="36"/>
          <w:szCs w:val="36"/>
        </w:rPr>
        <w:t>”理财产品</w:t>
      </w:r>
    </w:p>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bCs/>
          <w:spacing w:val="4"/>
          <w:sz w:val="36"/>
          <w:szCs w:val="36"/>
        </w:rPr>
        <w:t>2025年二季度</w:t>
      </w:r>
      <w:r>
        <w:rPr>
          <w:rFonts w:hint="eastAsia" w:ascii="楷体" w:hAnsi="楷体" w:eastAsia="楷体" w:cs="楷体"/>
          <w:b/>
          <w:sz w:val="36"/>
          <w:szCs w:val="36"/>
        </w:rPr>
        <w:t>投资管理报告</w:t>
      </w:r>
    </w:p>
    <w:p>
      <w:pPr>
        <w:pStyle w:val="8"/>
        <w:spacing w:before="0" w:beforeAutospacing="0" w:after="0" w:afterAutospacing="0" w:line="360" w:lineRule="auto"/>
        <w:rPr>
          <w:rFonts w:hint="eastAsia" w:ascii="楷体" w:hAnsi="楷体" w:eastAsia="楷体" w:cs="楷体"/>
        </w:rPr>
      </w:pPr>
      <w:r>
        <w:rPr>
          <w:rFonts w:hint="eastAsia" w:ascii="楷体" w:hAnsi="楷体" w:eastAsia="楷体" w:cs="楷体"/>
        </w:rPr>
        <w:t>尊敬的投资者：</w:t>
      </w:r>
    </w:p>
    <w:p>
      <w:pPr>
        <w:pStyle w:val="8"/>
        <w:spacing w:before="0" w:beforeAutospacing="0" w:after="0" w:afterAutospacing="0" w:line="360" w:lineRule="auto"/>
        <w:ind w:firstLine="566" w:firstLineChars="236"/>
        <w:rPr>
          <w:rFonts w:hint="eastAsia" w:ascii="楷体" w:hAnsi="楷体" w:eastAsia="楷体" w:cs="楷体"/>
        </w:rPr>
      </w:pPr>
      <w:r>
        <w:rPr>
          <w:rFonts w:hint="eastAsia" w:ascii="楷体" w:hAnsi="楷体" w:eastAsia="楷体" w:cs="楷体"/>
        </w:rPr>
        <w:t>“</w:t>
      </w:r>
      <w:r>
        <w:rPr>
          <w:rFonts w:hint="eastAsia" w:ascii="楷体" w:hAnsi="楷体" w:eastAsia="楷体" w:cs="楷体"/>
          <w:spacing w:val="-7"/>
        </w:rPr>
        <w:t>苏银理财恒源6月定开11期</w:t>
      </w:r>
      <w:r>
        <w:rPr>
          <w:rFonts w:hint="eastAsia" w:ascii="楷体" w:hAnsi="楷体" w:eastAsia="楷体" w:cs="楷体"/>
        </w:rPr>
        <w:t>”理财产品于</w:t>
      </w:r>
      <w:r>
        <w:rPr>
          <w:rFonts w:hint="eastAsia" w:ascii="楷体" w:hAnsi="楷体" w:eastAsia="楷体" w:cs="楷体"/>
          <w:spacing w:val="-53"/>
        </w:rPr>
        <w:t xml:space="preserve"> </w:t>
      </w:r>
      <w:r>
        <w:rPr>
          <w:rFonts w:hint="eastAsia" w:ascii="楷体" w:hAnsi="楷体" w:eastAsia="楷体" w:cs="楷体"/>
          <w:spacing w:val="-7"/>
        </w:rPr>
        <w:t>2022年07月01日</w:t>
      </w:r>
      <w:r>
        <w:rPr>
          <w:rFonts w:hint="eastAsia" w:ascii="楷体" w:hAnsi="楷体" w:eastAsia="楷体" w:cs="楷体"/>
        </w:rPr>
        <w:t>成立，于</w:t>
      </w:r>
      <w:r>
        <w:rPr>
          <w:rFonts w:hint="eastAsia" w:ascii="楷体" w:hAnsi="楷体" w:eastAsia="楷体" w:cs="楷体"/>
          <w:spacing w:val="-7"/>
        </w:rPr>
        <w:t>2022年07月01日</w:t>
      </w:r>
      <w:r>
        <w:rPr>
          <w:rFonts w:hint="eastAsia" w:ascii="楷体" w:hAnsi="楷体" w:eastAsia="楷体" w:cs="楷体"/>
        </w:rPr>
        <w:t>正式投资运作。</w:t>
      </w:r>
    </w:p>
    <w:p>
      <w:pPr>
        <w:pStyle w:val="8"/>
        <w:spacing w:before="0" w:beforeAutospacing="0" w:after="0" w:afterAutospacing="0" w:line="360" w:lineRule="auto"/>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一</w:t>
      </w:r>
      <w:bookmarkStart w:id="0" w:name="_Toc535504139"/>
      <w:r>
        <w:rPr>
          <w:rFonts w:hint="eastAsia" w:ascii="楷体" w:hAnsi="楷体" w:eastAsia="楷体" w:cs="楷体"/>
        </w:rPr>
        <w:t>、产品基本情况</w:t>
      </w:r>
      <w:bookmarkEnd w:id="0"/>
    </w:p>
    <w:tbl>
      <w:tblPr>
        <w:tblStyle w:val="9"/>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4"/>
        <w:gridCol w:w="3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产品名称</w:t>
            </w:r>
          </w:p>
        </w:tc>
        <w:tc>
          <w:tcPr>
            <w:tcW w:w="3847" w:type="dxa"/>
          </w:tcPr>
          <w:p>
            <w:pPr>
              <w:pStyle w:val="25"/>
              <w:spacing w:before="56" w:line="202" w:lineRule="auto"/>
              <w:jc w:val="center"/>
              <w:rPr>
                <w:rFonts w:hint="eastAsia" w:ascii="楷体" w:hAnsi="楷体" w:eastAsia="楷体" w:cs="楷体"/>
                <w:sz w:val="24"/>
                <w:szCs w:val="24"/>
                <w:highlight w:val="yellow"/>
              </w:rPr>
            </w:pPr>
            <w:r>
              <w:rPr>
                <w:rFonts w:hint="eastAsia" w:ascii="楷体" w:hAnsi="楷体" w:eastAsia="楷体" w:cs="楷体"/>
                <w:spacing w:val="-6"/>
                <w:sz w:val="24"/>
                <w:szCs w:val="24"/>
              </w:rPr>
              <w:t>苏银理财恒源6月定开11期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全国银行业理财信息登记系统登记编码</w:t>
            </w:r>
          </w:p>
        </w:tc>
        <w:tc>
          <w:tcPr>
            <w:tcW w:w="3847" w:type="dxa"/>
          </w:tcPr>
          <w:p>
            <w:pPr>
              <w:pStyle w:val="25"/>
              <w:spacing w:before="85" w:line="176"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Z7003122000086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产品运作方式</w:t>
            </w:r>
          </w:p>
        </w:tc>
        <w:tc>
          <w:tcPr>
            <w:tcW w:w="3847" w:type="dxa"/>
          </w:tcPr>
          <w:p>
            <w:pPr>
              <w:pStyle w:val="25"/>
              <w:spacing w:before="52" w:line="201" w:lineRule="auto"/>
              <w:jc w:val="center"/>
              <w:rPr>
                <w:rFonts w:hint="eastAsia" w:ascii="楷体" w:hAnsi="楷体" w:eastAsia="楷体" w:cs="楷体"/>
                <w:sz w:val="24"/>
                <w:szCs w:val="24"/>
                <w:highlight w:val="yellow"/>
              </w:rPr>
            </w:pPr>
            <w:r>
              <w:rPr>
                <w:rFonts w:hint="eastAsia" w:ascii="楷体" w:hAnsi="楷体" w:eastAsia="楷体" w:cs="楷体"/>
                <w:spacing w:val="-2"/>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报告期末产品存续份额（份）</w:t>
            </w:r>
          </w:p>
        </w:tc>
        <w:tc>
          <w:tcPr>
            <w:tcW w:w="3847" w:type="dxa"/>
          </w:tcPr>
          <w:p>
            <w:pPr>
              <w:pStyle w:val="25"/>
              <w:spacing w:before="87" w:line="174"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487,561,801.14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产品资产净值（元）</w:t>
            </w:r>
          </w:p>
        </w:tc>
        <w:tc>
          <w:tcPr>
            <w:tcW w:w="3847" w:type="dxa"/>
          </w:tcPr>
          <w:p>
            <w:pPr>
              <w:pStyle w:val="25"/>
              <w:spacing w:before="78" w:line="182"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492,735,789.09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风险收益特征</w:t>
            </w:r>
          </w:p>
        </w:tc>
        <w:tc>
          <w:tcPr>
            <w:tcW w:w="3847" w:type="dxa"/>
          </w:tcPr>
          <w:p>
            <w:pPr>
              <w:pStyle w:val="25"/>
              <w:spacing w:before="54" w:line="200" w:lineRule="auto"/>
              <w:jc w:val="center"/>
              <w:rPr>
                <w:rFonts w:hint="eastAsia" w:ascii="楷体" w:hAnsi="楷体" w:eastAsia="楷体" w:cs="楷体"/>
                <w:sz w:val="24"/>
                <w:szCs w:val="24"/>
                <w:highlight w:val="yellow"/>
              </w:rPr>
            </w:pPr>
            <w:r>
              <w:rPr>
                <w:rFonts w:hint="eastAsia" w:ascii="楷体" w:hAnsi="楷体" w:eastAsia="楷体" w:cs="楷体"/>
                <w:spacing w:val="-8"/>
                <w:sz w:val="24"/>
                <w:szCs w:val="24"/>
              </w:rPr>
              <w:t>中低风险型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收益类型</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9"/>
                <w:sz w:val="24"/>
                <w:szCs w:val="24"/>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管理人</w:t>
            </w:r>
          </w:p>
        </w:tc>
        <w:tc>
          <w:tcPr>
            <w:tcW w:w="3847" w:type="dxa"/>
          </w:tcPr>
          <w:p>
            <w:pPr>
              <w:pStyle w:val="25"/>
              <w:spacing w:before="55" w:line="200"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苏银理财有限责任公司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托管人</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江苏银行股份有限公司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w:t>
            </w:r>
          </w:p>
        </w:tc>
        <w:tc>
          <w:tcPr>
            <w:tcW w:w="3847" w:type="dxa"/>
          </w:tcPr>
          <w:p>
            <w:pPr>
              <w:pStyle w:val="25"/>
              <w:spacing w:before="90" w:line="173"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31000188000493744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托管账户开户行</w:t>
            </w:r>
          </w:p>
        </w:tc>
        <w:tc>
          <w:tcPr>
            <w:tcW w:w="3847" w:type="dxa"/>
          </w:tcPr>
          <w:p>
            <w:pPr>
              <w:pStyle w:val="25"/>
              <w:spacing w:before="56" w:line="199" w:lineRule="auto"/>
              <w:jc w:val="center"/>
              <w:rPr>
                <w:rFonts w:hint="eastAsia" w:ascii="楷体" w:hAnsi="楷体" w:eastAsia="楷体" w:cs="楷体"/>
                <w:sz w:val="24"/>
                <w:szCs w:val="24"/>
              </w:rPr>
            </w:pPr>
            <w:r>
              <w:rPr>
                <w:rFonts w:hint="eastAsia" w:ascii="楷体" w:hAnsi="楷体" w:eastAsia="楷体" w:cs="楷体"/>
                <w:spacing w:val="-2"/>
                <w:sz w:val="24"/>
                <w:szCs w:val="24"/>
              </w:rPr>
              <w:t>江苏银行股份有限公司营业部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产品资产总值（元）</w:t>
            </w:r>
          </w:p>
        </w:tc>
        <w:tc>
          <w:tcPr>
            <w:tcW w:w="3847" w:type="dxa"/>
          </w:tcPr>
          <w:p>
            <w:pPr>
              <w:pStyle w:val="25"/>
              <w:spacing w:before="81" w:line="180" w:lineRule="auto"/>
              <w:jc w:val="center"/>
              <w:rPr>
                <w:rFonts w:hint="eastAsia" w:ascii="楷体" w:hAnsi="楷体" w:eastAsia="楷体" w:cs="楷体"/>
                <w:sz w:val="24"/>
                <w:szCs w:val="24"/>
              </w:rPr>
            </w:pPr>
            <w:r>
              <w:rPr>
                <w:rFonts w:hint="eastAsia" w:ascii="楷体" w:hAnsi="楷体" w:eastAsia="楷体" w:cs="楷体"/>
                <w:spacing w:val="-1"/>
                <w:sz w:val="24"/>
                <w:szCs w:val="24"/>
              </w:rPr>
              <w:t>492,796,525.14</w:t>
            </w:r>
            <w:r>
              <w:rPr>
                <w:rFonts w:hint="eastAsia" w:ascii="楷体" w:hAnsi="楷体" w:eastAsia="楷体" w:cs="楷体"/>
                <w:spacing w:val="-29"/>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杠杆水平</w:t>
            </w:r>
          </w:p>
        </w:tc>
        <w:tc>
          <w:tcPr>
            <w:tcW w:w="3847" w:type="dxa"/>
          </w:tcPr>
          <w:p>
            <w:pPr>
              <w:pStyle w:val="25"/>
              <w:spacing w:before="56" w:line="202" w:lineRule="auto"/>
              <w:jc w:val="center"/>
              <w:rPr>
                <w:rFonts w:hint="eastAsia" w:ascii="楷体" w:hAnsi="楷体" w:eastAsia="楷体" w:cs="楷体"/>
                <w:sz w:val="24"/>
                <w:szCs w:val="24"/>
              </w:rPr>
            </w:pPr>
            <w:r>
              <w:rPr>
                <w:rFonts w:hint="eastAsia" w:ascii="楷体" w:hAnsi="楷体" w:eastAsia="楷体" w:cs="楷体"/>
                <w:spacing w:val="-4"/>
                <w:sz w:val="24"/>
                <w:szCs w:val="24"/>
              </w:rPr>
              <w:t>100.01%</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二、产品净值与业绩比较基准</w:t>
      </w:r>
    </w:p>
    <w:tbl>
      <w:tblPr>
        <w:tblStyle w:val="10"/>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2100"/>
        <w:gridCol w:w="1470"/>
        <w:gridCol w:w="1665"/>
        <w:gridCol w:w="1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spacing w:line="320" w:lineRule="exact"/>
              <w:jc w:val="center"/>
              <w:rPr>
                <w:rFonts w:hint="eastAsia" w:ascii="楷体" w:hAnsi="楷体" w:eastAsia="楷体" w:cs="楷体"/>
              </w:rPr>
            </w:pPr>
            <w:r>
              <w:rPr>
                <w:rFonts w:hint="eastAsia" w:ascii="楷体" w:hAnsi="楷体" w:eastAsia="楷体" w:cs="楷体"/>
                <w:sz w:val="24"/>
                <w:szCs w:val="24"/>
              </w:rPr>
              <w:t>报告日期</w:t>
            </w:r>
          </w:p>
        </w:tc>
        <w:tc>
          <w:tcPr>
            <w:tcW w:w="2100" w:type="dxa"/>
          </w:tcPr>
          <w:p>
            <w:pPr>
              <w:spacing w:line="320" w:lineRule="exact"/>
              <w:jc w:val="center"/>
              <w:rPr>
                <w:rFonts w:hint="eastAsia" w:ascii="楷体" w:hAnsi="楷体" w:eastAsia="楷体" w:cs="楷体"/>
              </w:rPr>
            </w:pPr>
            <w:r>
              <w:rPr>
                <w:rFonts w:hint="eastAsia" w:ascii="楷体" w:hAnsi="楷体" w:eastAsia="楷体" w:cs="楷体"/>
                <w:sz w:val="24"/>
                <w:szCs w:val="24"/>
              </w:rPr>
              <w:t>销售</w:t>
            </w:r>
            <w:r>
              <w:rPr>
                <w:rFonts w:hint="eastAsia" w:ascii="楷体" w:hAnsi="楷体" w:eastAsia="楷体" w:cs="楷体"/>
                <w:sz w:val="24"/>
                <w:szCs w:val="24"/>
                <w:lang w:eastAsia="zh-CN"/>
              </w:rPr>
              <w:t>名</w:t>
            </w:r>
            <w:r>
              <w:rPr>
                <w:rFonts w:hint="eastAsia" w:ascii="楷体" w:hAnsi="楷体" w:eastAsia="楷体" w:cs="楷体"/>
                <w:sz w:val="24"/>
                <w:szCs w:val="24"/>
              </w:rPr>
              <w:t>称</w:t>
            </w:r>
          </w:p>
        </w:tc>
        <w:tc>
          <w:tcPr>
            <w:tcW w:w="1470" w:type="dxa"/>
          </w:tcPr>
          <w:p>
            <w:pPr>
              <w:jc w:val="center"/>
              <w:rPr>
                <w:rFonts w:hint="eastAsia" w:ascii="楷体" w:hAnsi="楷体" w:eastAsia="楷体" w:cs="楷体"/>
              </w:rPr>
            </w:pPr>
            <w:r>
              <w:rPr>
                <w:rFonts w:hint="eastAsia" w:ascii="楷体" w:hAnsi="楷体" w:eastAsia="楷体" w:cs="楷体"/>
                <w:sz w:val="24"/>
                <w:szCs w:val="24"/>
              </w:rPr>
              <w:t>单位净值</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累计单位净值</w:t>
            </w:r>
          </w:p>
        </w:tc>
        <w:tc>
          <w:tcPr>
            <w:tcW w:w="1876" w:type="dxa"/>
          </w:tcPr>
          <w:p>
            <w:pPr>
              <w:jc w:val="center"/>
              <w:rPr>
                <w:rFonts w:hint="eastAsia" w:ascii="楷体" w:hAnsi="楷体" w:eastAsia="楷体" w:cs="楷体"/>
              </w:rPr>
            </w:pPr>
            <w:r>
              <w:rPr>
                <w:rFonts w:hint="eastAsia" w:ascii="楷体" w:hAnsi="楷体" w:eastAsia="楷体" w:cs="楷体"/>
                <w:sz w:val="24"/>
                <w:szCs w:val="24"/>
              </w:rPr>
              <w:t>业绩比较基准（年化）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jc w:val="center"/>
              <w:rPr>
                <w:rFonts w:hint="eastAsia" w:ascii="楷体" w:hAnsi="楷体" w:eastAsia="楷体" w:cs="楷体"/>
                <w:sz w:val="24"/>
                <w:szCs w:val="24"/>
              </w:rPr>
            </w:pPr>
            <w:r>
              <w:rPr>
                <w:rFonts w:hint="eastAsia" w:ascii="楷体" w:hAnsi="楷体" w:eastAsia="楷体" w:cs="楷体"/>
                <w:sz w:val="24"/>
                <w:szCs w:val="24"/>
              </w:rPr>
              <w:t>2025-06-30</w:t>
            </w:r>
          </w:p>
        </w:tc>
        <w:tc>
          <w:tcPr>
            <w:tcW w:w="2100" w:type="dxa"/>
          </w:tcPr>
          <w:p>
            <w:pPr>
              <w:jc w:val="center"/>
              <w:rPr>
                <w:rFonts w:hint="eastAsia" w:ascii="楷体" w:hAnsi="楷体" w:eastAsia="楷体" w:cs="楷体"/>
                <w:sz w:val="24"/>
                <w:szCs w:val="24"/>
              </w:rPr>
            </w:pPr>
            <w:r>
              <w:rPr>
                <w:rFonts w:hint="eastAsia" w:ascii="楷体" w:hAnsi="楷体" w:eastAsia="楷体" w:cs="楷体"/>
                <w:sz w:val="24"/>
                <w:szCs w:val="24"/>
              </w:rPr>
              <w:t>苏银理财恒源6月定开11期A</w:t>
            </w:r>
          </w:p>
        </w:tc>
        <w:tc>
          <w:tcPr>
            <w:tcW w:w="1470" w:type="dxa"/>
          </w:tcPr>
          <w:p>
            <w:pPr>
              <w:jc w:val="center"/>
              <w:rPr>
                <w:rFonts w:hint="eastAsia" w:ascii="楷体" w:hAnsi="楷体" w:eastAsia="楷体" w:cs="楷体"/>
                <w:sz w:val="24"/>
                <w:szCs w:val="24"/>
              </w:rPr>
            </w:pPr>
            <w:r>
              <w:rPr>
                <w:rFonts w:hint="eastAsia" w:ascii="楷体" w:hAnsi="楷体" w:eastAsia="楷体" w:cs="楷体"/>
                <w:sz w:val="24"/>
                <w:szCs w:val="24"/>
              </w:rPr>
              <w:t>1.010281</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1.094683</w:t>
            </w:r>
          </w:p>
        </w:tc>
        <w:tc>
          <w:tcPr>
            <w:tcW w:w="1876" w:type="dxa"/>
          </w:tcPr>
          <w:p>
            <w:pPr>
              <w:jc w:val="center"/>
              <w:rPr>
                <w:rFonts w:hint="eastAsia" w:ascii="楷体" w:hAnsi="楷体" w:eastAsia="楷体" w:cs="楷体"/>
                <w:sz w:val="24"/>
                <w:szCs w:val="24"/>
              </w:rPr>
            </w:pPr>
            <w:r>
              <w:rPr>
                <w:rFonts w:hint="eastAsia" w:ascii="楷体" w:hAnsi="楷体" w:eastAsia="楷体" w:cs="楷体"/>
                <w:sz w:val="24"/>
                <w:szCs w:val="24"/>
              </w:rPr>
              <w:t>2.30%-3.10%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苏银理财恒源6月定开11期C</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1.010727</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1.097736</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2.40%-3.20%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苏银理财恒源6月定开11期D</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1.01094</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1.098204</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2.45%-3.25%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苏银理财恒源6月定开11期G</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1.010722</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1.082433</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2.40%-3.20%</w:t>
            </w:r>
          </w:p>
        </w:tc>
      </w:tr>
    </w:tbl>
    <w:p>
      <w:pPr>
        <w:rPr>
          <w:rFonts w:hint="eastAsia" w:ascii="楷体" w:hAnsi="楷体" w:eastAsia="楷体" w:cs="楷体"/>
        </w:rPr>
      </w:pPr>
    </w:p>
    <w:p>
      <w:pPr>
        <w:rPr>
          <w:rFonts w:hint="eastAsia" w:ascii="楷体" w:hAnsi="楷体" w:eastAsia="楷体" w:cs="楷体"/>
          <w:sz w:val="21"/>
          <w:szCs w:val="21"/>
        </w:rPr>
      </w:pPr>
      <w:r>
        <w:rPr>
          <w:rFonts w:hint="eastAsia" w:ascii="楷体" w:hAnsi="楷体" w:eastAsia="楷体" w:cs="楷体"/>
          <w:bCs/>
          <w:kern w:val="0"/>
          <w:sz w:val="21"/>
          <w:szCs w:val="21"/>
        </w:rPr>
        <w:t>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三、产品投资组合情况</w:t>
      </w:r>
    </w:p>
    <w:p>
      <w:pPr>
        <w:pStyle w:val="2"/>
        <w:rPr>
          <w:rFonts w:hint="eastAsia" w:ascii="楷体" w:hAnsi="楷体" w:eastAsia="楷体" w:cs="楷体"/>
          <w:b w:val="0"/>
          <w:sz w:val="21"/>
        </w:rPr>
      </w:pPr>
      <w:r>
        <w:rPr>
          <w:rFonts w:hint="eastAsia" w:ascii="楷体" w:hAnsi="楷体" w:eastAsia="楷体" w:cs="楷体"/>
          <w:b w:val="0"/>
          <w:sz w:val="21"/>
        </w:rPr>
        <w:t>（一）期末理财产品持有资产情况</w:t>
      </w:r>
    </w:p>
    <w:tbl>
      <w:tblPr>
        <w:tblStyle w:val="9"/>
        <w:tblW w:w="8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2413"/>
        <w:gridCol w:w="2610"/>
        <w:gridCol w:w="2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序号</w:t>
            </w:r>
          </w:p>
        </w:tc>
        <w:tc>
          <w:tcPr>
            <w:tcW w:w="2413"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资产类别</w:t>
            </w:r>
          </w:p>
        </w:tc>
        <w:tc>
          <w:tcPr>
            <w:tcW w:w="2610" w:type="dxa"/>
            <w:vAlign w:val="center"/>
          </w:tcPr>
          <w:p>
            <w:pPr>
              <w:spacing w:line="320" w:lineRule="exact"/>
              <w:rPr>
                <w:rFonts w:hint="eastAsia" w:ascii="楷体" w:hAnsi="楷体" w:eastAsia="楷体" w:cs="楷体"/>
                <w:sz w:val="21"/>
                <w:szCs w:val="21"/>
              </w:rPr>
            </w:pPr>
            <w:r>
              <w:rPr>
                <w:rFonts w:hint="eastAsia" w:ascii="楷体" w:hAnsi="楷体" w:eastAsia="楷体" w:cs="楷体"/>
                <w:sz w:val="21"/>
                <w:szCs w:val="21"/>
              </w:rPr>
              <w:t>直接投资占总资产的比例</w:t>
            </w:r>
          </w:p>
        </w:tc>
        <w:tc>
          <w:tcPr>
            <w:tcW w:w="2550"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间接投资占总资产的比例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w:t>
            </w:r>
          </w:p>
        </w:tc>
        <w:tc>
          <w:tcPr>
            <w:tcW w:w="2413"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固定收益类</w:t>
            </w:r>
          </w:p>
        </w:tc>
        <w:tc>
          <w:tcPr>
            <w:tcW w:w="261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8.19%</w:t>
            </w:r>
          </w:p>
        </w:tc>
        <w:tc>
          <w:tcPr>
            <w:tcW w:w="255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91.81%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2</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权益类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3</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商品及金融衍生品类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4</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混合类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140" w:type="dxa"/>
            <w:gridSpan w:val="2"/>
            <w:shd w:val="clear" w:color="auto" w:fill="auto"/>
            <w:vAlign w:val="center"/>
          </w:tcPr>
          <w:p>
            <w:pPr>
              <w:tabs>
                <w:tab w:val="center" w:pos="1522"/>
                <w:tab w:val="right" w:pos="2924"/>
              </w:tabs>
              <w:jc w:val="left"/>
              <w:rPr>
                <w:rFonts w:hint="eastAsia" w:ascii="楷体" w:hAnsi="楷体" w:eastAsia="楷体" w:cs="楷体"/>
                <w:sz w:val="24"/>
                <w:szCs w:val="24"/>
                <w:lang w:eastAsia="zh-CN"/>
              </w:rPr>
            </w:pPr>
            <w:r>
              <w:rPr>
                <w:rFonts w:hint="eastAsia" w:ascii="楷体" w:hAnsi="楷体" w:eastAsia="楷体" w:cs="楷体"/>
                <w:sz w:val="24"/>
                <w:szCs w:val="24"/>
                <w:lang w:eastAsia="zh-CN"/>
              </w:rPr>
              <w:tab/>
            </w:r>
            <w:r>
              <w:rPr>
                <w:rFonts w:hint="eastAsia" w:ascii="楷体" w:hAnsi="楷体" w:eastAsia="楷体" w:cs="楷体"/>
                <w:sz w:val="24"/>
                <w:szCs w:val="24"/>
              </w:rPr>
              <w:t>合计</w:t>
            </w:r>
            <w:r>
              <w:rPr>
                <w:rFonts w:hint="eastAsia" w:ascii="楷体" w:hAnsi="楷体" w:eastAsia="楷体" w:cs="楷体"/>
                <w:sz w:val="24"/>
                <w:szCs w:val="24"/>
                <w:lang w:eastAsia="zh-CN"/>
              </w:rPr>
              <w:tab/>
            </w:r>
          </w:p>
        </w:tc>
        <w:tc>
          <w:tcPr>
            <w:tcW w:w="2610" w:type="dxa"/>
            <w:shd w:val="clear" w:color="auto" w:fill="auto"/>
            <w:vAlign w:val="center"/>
          </w:tcPr>
          <w:p>
            <w:pPr>
              <w:jc w:val="center"/>
              <w:rPr>
                <w:rFonts w:hint="eastAsia" w:ascii="楷体" w:hAnsi="楷体" w:eastAsia="楷体" w:cs="楷体"/>
                <w:sz w:val="24"/>
                <w:szCs w:val="24"/>
              </w:rPr>
            </w:pPr>
            <w:r>
              <w:rPr>
                <w:rFonts w:hint="eastAsia" w:ascii="楷体" w:hAnsi="楷体" w:eastAsia="楷体" w:cs="楷体"/>
                <w:sz w:val="24"/>
                <w:szCs w:val="24"/>
              </w:rPr>
              <w:t>8.19%</w:t>
            </w:r>
          </w:p>
        </w:tc>
        <w:tc>
          <w:tcPr>
            <w:tcW w:w="2550" w:type="dxa"/>
            <w:shd w:val="clear" w:color="auto" w:fill="FFFFFF"/>
            <w:vAlign w:val="center"/>
          </w:tcPr>
          <w:p>
            <w:pPr>
              <w:jc w:val="center"/>
              <w:rPr>
                <w:rFonts w:hint="eastAsia" w:ascii="楷体" w:hAnsi="楷体" w:eastAsia="楷体" w:cs="楷体"/>
                <w:sz w:val="24"/>
                <w:szCs w:val="24"/>
              </w:rPr>
            </w:pPr>
            <w:r>
              <w:rPr>
                <w:rFonts w:hint="eastAsia" w:ascii="楷体" w:hAnsi="楷体" w:eastAsia="楷体" w:cs="楷体"/>
                <w:sz w:val="24"/>
                <w:szCs w:val="24"/>
              </w:rPr>
              <w:t>91.81%</w:t>
            </w:r>
          </w:p>
        </w:tc>
      </w:tr>
    </w:tbl>
    <w:p>
      <w:pPr>
        <w:rPr>
          <w:rFonts w:hint="eastAsia" w:ascii="楷体" w:hAnsi="楷体" w:eastAsia="楷体" w:cs="楷体"/>
        </w:rPr>
      </w:pPr>
    </w:p>
    <w:p>
      <w:pPr>
        <w:pStyle w:val="2"/>
        <w:ind w:left="0"/>
        <w:rPr>
          <w:rFonts w:hint="eastAsia" w:ascii="楷体" w:hAnsi="楷体" w:eastAsia="楷体" w:cs="楷体"/>
          <w:b w:val="0"/>
          <w:sz w:val="21"/>
        </w:rPr>
      </w:pPr>
      <w:r>
        <w:rPr>
          <w:rFonts w:hint="eastAsia" w:ascii="楷体" w:hAnsi="楷体" w:eastAsia="楷体" w:cs="楷体"/>
          <w:b w:val="0"/>
          <w:sz w:val="21"/>
        </w:rPr>
        <w:t>（二）期末理财产品持有的前十项资产</w:t>
      </w:r>
    </w:p>
    <w:tbl>
      <w:tblPr>
        <w:tblStyle w:val="9"/>
        <w:tblW w:w="86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2434"/>
        <w:gridCol w:w="1275"/>
        <w:gridCol w:w="2235"/>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序号</w:t>
            </w:r>
          </w:p>
        </w:tc>
        <w:tc>
          <w:tcPr>
            <w:tcW w:w="2434"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资产名称</w:t>
            </w:r>
          </w:p>
        </w:tc>
        <w:tc>
          <w:tcPr>
            <w:tcW w:w="127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资产类别</w:t>
            </w:r>
          </w:p>
        </w:tc>
        <w:tc>
          <w:tcPr>
            <w:tcW w:w="223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持有金额（元）</w:t>
            </w:r>
          </w:p>
        </w:tc>
        <w:tc>
          <w:tcPr>
            <w:tcW w:w="1800"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jc w:val="center"/>
              <w:rPr>
                <w:rFonts w:hint="eastAsia" w:ascii="楷体" w:hAnsi="楷体" w:eastAsia="楷体" w:cs="楷体"/>
                <w:sz w:val="22"/>
              </w:rPr>
            </w:pPr>
            <w:r>
              <w:rPr>
                <w:rFonts w:hint="eastAsia" w:ascii="楷体" w:hAnsi="楷体" w:eastAsia="楷体" w:cs="楷体"/>
                <w:sz w:val="22"/>
              </w:rPr>
              <w:t>1</w:t>
            </w:r>
          </w:p>
        </w:tc>
        <w:tc>
          <w:tcPr>
            <w:tcW w:w="2434" w:type="dxa"/>
          </w:tcPr>
          <w:p>
            <w:pPr>
              <w:jc w:val="center"/>
              <w:rPr>
                <w:rFonts w:hint="eastAsia" w:ascii="楷体" w:hAnsi="楷体" w:eastAsia="楷体" w:cs="楷体"/>
                <w:sz w:val="22"/>
              </w:rPr>
            </w:pPr>
            <w:r>
              <w:rPr>
                <w:rFonts w:hint="eastAsia" w:ascii="楷体" w:hAnsi="楷体" w:eastAsia="楷体" w:cs="楷体"/>
                <w:sz w:val="22"/>
              </w:rPr>
              <w:t>24盐官02</w:t>
            </w:r>
          </w:p>
        </w:tc>
        <w:tc>
          <w:tcPr>
            <w:tcW w:w="1275" w:type="dxa"/>
          </w:tcPr>
          <w:p>
            <w:pPr>
              <w:jc w:val="center"/>
              <w:rPr>
                <w:rFonts w:hint="eastAsia" w:ascii="楷体" w:hAnsi="楷体" w:eastAsia="楷体" w:cs="楷体"/>
                <w:sz w:val="22"/>
              </w:rPr>
            </w:pPr>
            <w:r>
              <w:rPr>
                <w:rFonts w:hint="eastAsia" w:ascii="楷体" w:hAnsi="楷体" w:eastAsia="楷体" w:cs="楷体"/>
                <w:sz w:val="22"/>
              </w:rPr>
              <w:t>债券</w:t>
            </w:r>
          </w:p>
        </w:tc>
        <w:tc>
          <w:tcPr>
            <w:tcW w:w="2235" w:type="dxa"/>
          </w:tcPr>
          <w:p>
            <w:pPr>
              <w:jc w:val="center"/>
              <w:rPr>
                <w:rFonts w:hint="eastAsia" w:ascii="楷体" w:hAnsi="楷体" w:eastAsia="楷体" w:cs="楷体"/>
                <w:sz w:val="22"/>
              </w:rPr>
            </w:pPr>
            <w:r>
              <w:rPr>
                <w:rFonts w:hint="eastAsia" w:ascii="楷体" w:hAnsi="楷体" w:eastAsia="楷体" w:cs="楷体"/>
                <w:sz w:val="22"/>
              </w:rPr>
              <w:t>30,570,690.41</w:t>
            </w:r>
          </w:p>
        </w:tc>
        <w:tc>
          <w:tcPr>
            <w:tcW w:w="1800" w:type="dxa"/>
          </w:tcPr>
          <w:p>
            <w:pPr>
              <w:jc w:val="center"/>
              <w:rPr>
                <w:rFonts w:hint="eastAsia" w:ascii="楷体" w:hAnsi="楷体" w:eastAsia="楷体" w:cs="楷体"/>
                <w:sz w:val="22"/>
              </w:rPr>
            </w:pPr>
            <w:r>
              <w:rPr>
                <w:rFonts w:hint="eastAsia" w:ascii="楷体" w:hAnsi="楷体" w:eastAsia="楷体" w:cs="楷体"/>
                <w:sz w:val="22"/>
              </w:rPr>
              <w:t>5.74%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2</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15,014,308.15</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3</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24特别国债06</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7,944,580.20</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4</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24华夏银行永续债01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权益类投资</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5,322,051.51</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5</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25国开05</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4,991,258.51</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6</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24徐州交通PPN002</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4,489,379.32</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7</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24两江产业MTN002(科创票据)</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3,974,979.14</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8</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24中铝集MTN005B(科创票据)</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3,958,124.47</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9</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24中信银行CD337</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3,225,072.00</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10</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25建设银行CD006</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3,219,711.48</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0.60%</w:t>
            </w:r>
          </w:p>
        </w:tc>
      </w:tr>
    </w:tbl>
    <w:p>
      <w:pPr>
        <w:pStyle w:val="14"/>
        <w:rPr>
          <w:rFonts w:hint="eastAsia" w:ascii="楷体" w:hAnsi="楷体" w:eastAsia="楷体" w:cs="楷体"/>
        </w:rPr>
      </w:pPr>
    </w:p>
    <w:p>
      <w:pPr>
        <w:pStyle w:val="2"/>
        <w:numPr>
          <w:ilvl w:val="0"/>
          <w:numId w:val="1"/>
        </w:numPr>
        <w:rPr>
          <w:rFonts w:hint="eastAsia" w:ascii="楷体" w:hAnsi="楷体" w:eastAsia="楷体" w:cs="楷体"/>
          <w:b w:val="0"/>
          <w:sz w:val="21"/>
        </w:rPr>
      </w:pPr>
      <w:r>
        <w:rPr>
          <w:rFonts w:hint="eastAsia" w:ascii="楷体" w:hAnsi="楷体" w:eastAsia="楷体" w:cs="楷体"/>
          <w:b w:val="0"/>
          <w:sz w:val="21"/>
        </w:rPr>
        <w:t>非标资产情况</w:t>
      </w:r>
    </w:p>
    <w:p>
      <w:pPr>
        <w:ind w:firstLine="220" w:firstLineChars="100"/>
        <w:rPr>
          <w:rFonts w:hint="eastAsia" w:ascii="楷体" w:hAnsi="楷体" w:eastAsia="楷体" w:cs="楷体"/>
        </w:rPr>
      </w:pPr>
      <w:r>
        <w:rPr>
          <w:rFonts w:hint="eastAsia" w:ascii="楷体" w:hAnsi="楷体" w:eastAsia="楷体" w:cs="楷体"/>
          <w:sz w:val="22"/>
          <w:szCs w:val="24"/>
        </w:rPr>
        <w:t>1）非标资产投资情况</w:t>
      </w:r>
    </w:p>
    <w:tbl>
      <w:tblPr>
        <w:tblStyle w:val="9"/>
        <w:tblW w:w="8811" w:type="dxa"/>
        <w:tblInd w:w="0" w:type="dxa"/>
        <w:tblLayout w:type="fixed"/>
        <w:tblCellMar>
          <w:top w:w="0" w:type="dxa"/>
          <w:left w:w="108" w:type="dxa"/>
          <w:bottom w:w="0" w:type="dxa"/>
          <w:right w:w="108" w:type="dxa"/>
        </w:tblCellMar>
      </w:tblPr>
      <w:tblGrid>
        <w:gridCol w:w="1401"/>
        <w:gridCol w:w="1410"/>
        <w:gridCol w:w="1245"/>
        <w:gridCol w:w="1485"/>
        <w:gridCol w:w="1335"/>
        <w:gridCol w:w="1080"/>
        <w:gridCol w:w="855"/>
      </w:tblGrid>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41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项目名称</w:t>
            </w:r>
          </w:p>
        </w:tc>
        <w:tc>
          <w:tcPr>
            <w:tcW w:w="124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剩余融资期限（天）</w:t>
            </w:r>
          </w:p>
        </w:tc>
        <w:tc>
          <w:tcPr>
            <w:tcW w:w="148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资产面值</w:t>
            </w:r>
          </w:p>
        </w:tc>
        <w:tc>
          <w:tcPr>
            <w:tcW w:w="133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到期分配方式</w:t>
            </w:r>
          </w:p>
        </w:tc>
        <w:tc>
          <w:tcPr>
            <w:tcW w:w="108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交易结构</w:t>
            </w:r>
          </w:p>
        </w:tc>
        <w:tc>
          <w:tcPr>
            <w:tcW w:w="85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风险状况</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41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24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48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33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08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85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r>
    </w:tbl>
    <w:p>
      <w:pPr>
        <w:pStyle w:val="14"/>
        <w:rPr>
          <w:rFonts w:hint="eastAsia" w:ascii="楷体" w:hAnsi="楷体" w:eastAsia="楷体" w:cs="楷体"/>
        </w:rPr>
      </w:pPr>
    </w:p>
    <w:p>
      <w:pPr>
        <w:spacing w:line="320" w:lineRule="exact"/>
        <w:ind w:firstLine="220" w:firstLineChars="100"/>
        <w:rPr>
          <w:rFonts w:hint="eastAsia" w:ascii="楷体" w:hAnsi="楷体" w:eastAsia="楷体" w:cs="楷体"/>
        </w:rPr>
      </w:pPr>
      <w:r>
        <w:rPr>
          <w:rFonts w:hint="eastAsia" w:ascii="楷体" w:hAnsi="楷体" w:eastAsia="楷体" w:cs="楷体"/>
          <w:sz w:val="22"/>
          <w:szCs w:val="24"/>
        </w:rPr>
        <w:t>2）融资客户情况</w:t>
      </w:r>
    </w:p>
    <w:tbl>
      <w:tblPr>
        <w:tblStyle w:val="10"/>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399"/>
        <w:gridCol w:w="1263"/>
        <w:gridCol w:w="4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412"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399"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成立日期</w:t>
            </w:r>
          </w:p>
        </w:tc>
        <w:tc>
          <w:tcPr>
            <w:tcW w:w="1263"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注册资本（元）</w:t>
            </w:r>
          </w:p>
        </w:tc>
        <w:tc>
          <w:tcPr>
            <w:tcW w:w="4746"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经营范围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2"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399"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263"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4746"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r>
    </w:tbl>
    <w:p>
      <w:pPr>
        <w:pStyle w:val="14"/>
        <w:rPr>
          <w:rFonts w:hint="eastAsia" w:ascii="楷体" w:hAnsi="楷体" w:eastAsia="楷体" w:cs="楷体"/>
        </w:rPr>
      </w:pPr>
    </w:p>
    <w:p>
      <w:pPr>
        <w:pStyle w:val="2"/>
        <w:rPr>
          <w:rFonts w:hint="eastAsia" w:ascii="楷体" w:hAnsi="楷体" w:eastAsia="楷体" w:cs="楷体"/>
          <w:b w:val="0"/>
          <w:sz w:val="21"/>
        </w:rPr>
      </w:pPr>
      <w:r>
        <w:rPr>
          <w:rFonts w:hint="eastAsia" w:ascii="楷体" w:hAnsi="楷体" w:eastAsia="楷体" w:cs="楷体"/>
          <w:b w:val="0"/>
          <w:sz w:val="21"/>
        </w:rPr>
        <w:t>（四）关联交易情况</w:t>
      </w:r>
    </w:p>
    <w:p>
      <w:pPr>
        <w:spacing w:line="320" w:lineRule="exact"/>
        <w:ind w:firstLine="220" w:firstLineChars="100"/>
        <w:rPr>
          <w:rFonts w:hint="eastAsia" w:ascii="楷体" w:hAnsi="楷体" w:eastAsia="楷体" w:cs="楷体"/>
          <w:sz w:val="22"/>
          <w:szCs w:val="24"/>
        </w:rPr>
      </w:pPr>
      <w:r>
        <w:rPr>
          <w:rFonts w:hint="eastAsia" w:ascii="楷体" w:hAnsi="楷体" w:eastAsia="楷体" w:cs="楷体"/>
          <w:sz w:val="22"/>
          <w:szCs w:val="24"/>
        </w:rPr>
        <w:t>1）报告期内投资于关联方发行的证券或其他金融工具</w:t>
      </w:r>
    </w:p>
    <w:tbl>
      <w:tblPr>
        <w:tblStyle w:val="9"/>
        <w:tblW w:w="8621" w:type="dxa"/>
        <w:tblInd w:w="0" w:type="dxa"/>
        <w:tblLayout w:type="fixed"/>
        <w:tblCellMar>
          <w:top w:w="0" w:type="dxa"/>
          <w:left w:w="108" w:type="dxa"/>
          <w:bottom w:w="0" w:type="dxa"/>
          <w:right w:w="108" w:type="dxa"/>
        </w:tblCellMar>
      </w:tblPr>
      <w:tblGrid>
        <w:gridCol w:w="1465"/>
        <w:gridCol w:w="1440"/>
        <w:gridCol w:w="1425"/>
        <w:gridCol w:w="2115"/>
        <w:gridCol w:w="2176"/>
      </w:tblGrid>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1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ind w:firstLine="220" w:firstLineChars="100"/>
        <w:rPr>
          <w:rFonts w:hint="eastAsia" w:ascii="楷体" w:hAnsi="楷体" w:eastAsia="楷体" w:cs="楷体"/>
        </w:rPr>
      </w:pPr>
      <w:r>
        <w:rPr>
          <w:rFonts w:hint="eastAsia" w:ascii="楷体" w:hAnsi="楷体" w:eastAsia="楷体" w:cs="楷体"/>
          <w:sz w:val="22"/>
          <w:szCs w:val="24"/>
        </w:rPr>
        <w:t>2）报告期内投资于关联方承销的证券或其他金融工具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425"/>
        <w:gridCol w:w="2085"/>
        <w:gridCol w:w="2191"/>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0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08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9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报告期内投资于关联方管理的资管产品或其他金融工具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395"/>
        <w:gridCol w:w="2130"/>
        <w:gridCol w:w="2176"/>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金融工具代码</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金融工具名称</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sz w:val="22"/>
          <w:szCs w:val="24"/>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报告期内的其他关联交易</w:t>
      </w:r>
    </w:p>
    <w:tbl>
      <w:tblPr>
        <w:tblStyle w:val="9"/>
        <w:tblW w:w="8621" w:type="dxa"/>
        <w:tblInd w:w="0" w:type="dxa"/>
        <w:tblLayout w:type="fixed"/>
        <w:tblCellMar>
          <w:top w:w="0" w:type="dxa"/>
          <w:left w:w="108" w:type="dxa"/>
          <w:bottom w:w="0" w:type="dxa"/>
          <w:right w:w="108" w:type="dxa"/>
        </w:tblCellMar>
      </w:tblPr>
      <w:tblGrid>
        <w:gridCol w:w="1930"/>
        <w:gridCol w:w="3540"/>
        <w:gridCol w:w="3151"/>
      </w:tblGrid>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交易类型</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315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关联交易金额（元）</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代销费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48,317.14</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托管费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24,733.88</w:t>
            </w:r>
          </w:p>
        </w:tc>
      </w:tr>
    </w:tbl>
    <w:p>
      <w:pPr>
        <w:pStyle w:val="14"/>
        <w:rPr>
          <w:rFonts w:hint="eastAsia" w:ascii="楷体" w:hAnsi="楷体" w:eastAsia="楷体" w:cs="楷体"/>
          <w:sz w:val="21"/>
          <w:szCs w:val="21"/>
        </w:rPr>
      </w:pPr>
      <w:r>
        <w:rPr>
          <w:rFonts w:hint="eastAsia" w:ascii="楷体" w:hAnsi="楷体" w:eastAsia="楷体" w:cs="楷体"/>
          <w:sz w:val="21"/>
          <w:szCs w:val="21"/>
        </w:rPr>
        <w:t>注：本报告中理财产品托管费、代销费、直销费均基于产品实际支付金额进行统计。</w:t>
      </w:r>
    </w:p>
    <w:p>
      <w:pPr>
        <w:pStyle w:val="14"/>
        <w:rPr>
          <w:rFonts w:hint="eastAsia" w:ascii="楷体" w:hAnsi="楷体" w:eastAsia="楷体" w:cs="楷体"/>
        </w:rPr>
      </w:pPr>
    </w:p>
    <w:p>
      <w:pPr>
        <w:rPr>
          <w:rFonts w:hint="eastAsia" w:ascii="楷体" w:hAnsi="楷体" w:eastAsia="楷体" w:cs="楷体"/>
          <w:sz w:val="22"/>
          <w:szCs w:val="24"/>
        </w:rPr>
      </w:pPr>
      <w:r>
        <w:rPr>
          <w:rFonts w:hint="eastAsia" w:ascii="楷体" w:hAnsi="楷体" w:eastAsia="楷体" w:cs="楷体"/>
          <w:sz w:val="22"/>
          <w:szCs w:val="24"/>
        </w:rPr>
        <w:t>（五）自有资金投资情况</w:t>
      </w:r>
    </w:p>
    <w:tbl>
      <w:tblPr>
        <w:tblStyle w:val="9"/>
        <w:tblW w:w="7299" w:type="dxa"/>
        <w:tblInd w:w="0" w:type="dxa"/>
        <w:tblLayout w:type="fixed"/>
        <w:tblCellMar>
          <w:top w:w="0" w:type="dxa"/>
          <w:left w:w="108" w:type="dxa"/>
          <w:bottom w:w="0" w:type="dxa"/>
          <w:right w:w="108" w:type="dxa"/>
        </w:tblCellMar>
      </w:tblPr>
      <w:tblGrid>
        <w:gridCol w:w="2796"/>
        <w:gridCol w:w="4503"/>
      </w:tblGrid>
      <w:tr>
        <w:tblPrEx>
          <w:tblCellMar>
            <w:top w:w="0" w:type="dxa"/>
            <w:left w:w="108" w:type="dxa"/>
            <w:bottom w:w="0" w:type="dxa"/>
            <w:right w:w="108" w:type="dxa"/>
          </w:tblCellMar>
        </w:tblPrEx>
        <w:trPr>
          <w:trHeight w:val="311"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产品名称</w:t>
            </w:r>
          </w:p>
        </w:tc>
        <w:tc>
          <w:tcPr>
            <w:tcW w:w="45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78"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450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ind w:firstLine="420" w:firstLineChars="200"/>
        <w:rPr>
          <w:rFonts w:hint="eastAsia" w:ascii="楷体" w:hAnsi="楷体" w:eastAsia="楷体" w:cs="楷体"/>
          <w:bCs/>
          <w:kern w:val="0"/>
          <w:sz w:val="21"/>
          <w:szCs w:val="21"/>
        </w:rPr>
      </w:pPr>
      <w:r>
        <w:rPr>
          <w:rFonts w:hint="eastAsia" w:ascii="楷体" w:hAnsi="楷体" w:eastAsia="楷体" w:cs="楷体"/>
          <w:bCs/>
          <w:kern w:val="0"/>
          <w:sz w:val="21"/>
          <w:szCs w:val="21"/>
        </w:rPr>
        <w:t>本公司自有资金投资本公司管理的理财产品适用的费率均不优于其他投资者。</w:t>
      </w:r>
    </w:p>
    <w:p>
      <w:pPr>
        <w:ind w:firstLine="560" w:firstLineChars="200"/>
        <w:rPr>
          <w:rFonts w:hint="eastAsia" w:ascii="楷体" w:hAnsi="楷体" w:eastAsia="楷体" w:cs="楷体"/>
          <w:bCs/>
          <w:kern w:val="0"/>
          <w:szCs w:val="21"/>
        </w:rPr>
      </w:pPr>
    </w:p>
    <w:p>
      <w:pPr>
        <w:rPr>
          <w:rFonts w:hint="eastAsia" w:ascii="楷体" w:hAnsi="楷体" w:eastAsia="楷体" w:cs="楷体"/>
          <w:sz w:val="22"/>
          <w:szCs w:val="24"/>
        </w:rPr>
      </w:pPr>
      <w:r>
        <w:rPr>
          <w:rFonts w:hint="eastAsia" w:ascii="楷体" w:hAnsi="楷体" w:eastAsia="楷体" w:cs="楷体"/>
          <w:sz w:val="22"/>
          <w:szCs w:val="24"/>
        </w:rPr>
        <w:t>（六）理财产品份额变动情况</w:t>
      </w:r>
    </w:p>
    <w:tbl>
      <w:tblPr>
        <w:tblStyle w:val="9"/>
        <w:tblW w:w="7305" w:type="dxa"/>
        <w:tblInd w:w="0" w:type="dxa"/>
        <w:tblLayout w:type="fixed"/>
        <w:tblCellMar>
          <w:top w:w="0" w:type="dxa"/>
          <w:left w:w="108" w:type="dxa"/>
          <w:bottom w:w="0" w:type="dxa"/>
          <w:right w:w="108" w:type="dxa"/>
        </w:tblCellMar>
      </w:tblPr>
      <w:tblGrid>
        <w:gridCol w:w="2798"/>
        <w:gridCol w:w="4507"/>
      </w:tblGrid>
      <w:tr>
        <w:tblPrEx>
          <w:tblCellMar>
            <w:top w:w="0" w:type="dxa"/>
            <w:left w:w="108" w:type="dxa"/>
            <w:bottom w:w="0" w:type="dxa"/>
            <w:right w:w="108" w:type="dxa"/>
          </w:tblCellMar>
        </w:tblPrEx>
        <w:trPr>
          <w:trHeight w:val="311" w:hRule="atLeast"/>
        </w:trPr>
        <w:tc>
          <w:tcPr>
            <w:tcW w:w="2798"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日期</w:t>
            </w:r>
          </w:p>
        </w:tc>
        <w:tc>
          <w:tcPr>
            <w:tcW w:w="4507"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2025-06-30</w:t>
            </w:r>
          </w:p>
        </w:tc>
        <w:tc>
          <w:tcPr>
            <w:tcW w:w="4507"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487,561,801.14</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2025-03-31</w:t>
            </w:r>
          </w:p>
        </w:tc>
        <w:tc>
          <w:tcPr>
            <w:tcW w:w="4507"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487,561,801.14</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四.投资运作情况</w:t>
      </w:r>
    </w:p>
    <w:p>
      <w:pPr>
        <w:pStyle w:val="2"/>
        <w:rPr>
          <w:rFonts w:ascii="楷体" w:hAnsi="楷体"/>
          <w:b w:val="0"/>
          <w:sz w:val="21"/>
        </w:rPr>
      </w:pPr>
      <w:r>
        <w:rPr>
          <w:rFonts w:ascii="楷体" w:hAnsi="楷体"/>
          <w:b w:val="0"/>
          <w:sz w:val="21"/>
        </w:rPr>
        <w:t>1</w:t>
      </w:r>
      <w:r>
        <w:rPr>
          <w:rFonts w:hint="eastAsia" w:ascii="楷体" w:hAnsi="楷体"/>
          <w:b w:val="0"/>
          <w:sz w:val="21"/>
          <w:lang w:eastAsia="zh-CN"/>
        </w:rPr>
        <w:t>、</w:t>
      </w:r>
      <w:r>
        <w:rPr>
          <w:rFonts w:hint="eastAsia" w:ascii="楷体" w:hAnsi="楷体"/>
          <w:b w:val="0"/>
          <w:sz w:val="21"/>
        </w:rPr>
        <w:t>运作期</w:t>
      </w:r>
      <w:r>
        <w:rPr>
          <w:rFonts w:ascii="楷体" w:hAnsi="楷体"/>
          <w:b w:val="0"/>
          <w:sz w:val="21"/>
        </w:rPr>
        <w:t>回顾</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二季度债市在超预期关税驱动下先是急涨，随后进入震荡格局。期间，关税作为宏观层面的主要矛盾，前期债市主要围绕关税谈判本身进行博弈，并在首次谈判促进税率下调后出现回调；后期则主要围绕关税影响寻找方向，即关税客观上导致经济边际走弱和资金面持续宽松，收益率重新向季初低点回落。</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4月初，特朗普政府“对等关税”意外冲击全球市场，关税政策的落地和加税幅度超出市场预期，从风险偏好、基本面以及随之而来的政策应对举措等维度全方面影响债市投资者的预期，10年、30年活跃利率债快速下行接近前低。虽然后续中美在日内瓦、伦敦达成了缓和关税冲突的协定，但利率仅出现短期扰动，并未持续上行、回到或接近关税冲突前的点位。事后看，“对等关税”对债市的影响相对加速了、阶段性加深了此前基于“基本面阶段性压力-狭义流动性趋松”的看多逻辑，因此快速下行后，5-6月无风险收益率逐渐趋于震荡，波动率大幅下降。</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随着资金价格中枢逐步下行，债市对宽松的定价逐步深化，主要体现在：1）信用利差明显压缩，5月12日以来，5年中债隐含评级AA（2）城投债信用利差累计下行超15bp；2）长期信用债活跃度提升、利率新老券利差压缩</w:t>
      </w:r>
      <w:r>
        <w:rPr>
          <w:rFonts w:hint="default" w:ascii="楷体" w:hAnsi="楷体" w:cs="Times New Roman"/>
          <w:b w:val="0"/>
          <w:sz w:val="21"/>
        </w:rPr>
        <w:t>。</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本理财产品以固收类资产为主，通过对宏观经济、市场利率、债券市场需求供给的变化、信用风险等进行充分研判，主动构建并调整债券资产投资组合，力争获取超额收益。</w:t>
      </w:r>
    </w:p>
    <w:p>
      <w:pPr>
        <w:pStyle w:val="2"/>
        <w:rPr>
          <w:rFonts w:ascii="楷体" w:hAnsi="楷体"/>
          <w:b w:val="0"/>
          <w:sz w:val="21"/>
        </w:rPr>
      </w:pPr>
    </w:p>
    <w:p>
      <w:pPr>
        <w:pStyle w:val="2"/>
        <w:rPr>
          <w:rFonts w:ascii="楷体" w:hAnsi="楷体"/>
          <w:b w:val="0"/>
          <w:sz w:val="21"/>
        </w:rPr>
      </w:pPr>
      <w:r>
        <w:rPr>
          <w:rFonts w:ascii="楷体" w:hAnsi="楷体"/>
          <w:b w:val="0"/>
          <w:sz w:val="21"/>
        </w:rPr>
        <w:t>2</w:t>
      </w:r>
      <w:r>
        <w:rPr>
          <w:rFonts w:hint="eastAsia" w:ascii="楷体" w:hAnsi="楷体"/>
          <w:b w:val="0"/>
          <w:sz w:val="21"/>
          <w:lang w:eastAsia="zh-CN"/>
        </w:rPr>
        <w:t>、</w:t>
      </w:r>
      <w:r>
        <w:rPr>
          <w:rFonts w:ascii="楷体" w:hAnsi="楷体"/>
          <w:b w:val="0"/>
          <w:sz w:val="21"/>
        </w:rPr>
        <w:t>后市展望及下阶段投资策略</w:t>
      </w:r>
    </w:p>
    <w:p>
      <w:pPr>
        <w:ind w:firstLine="420" w:firstLineChars="200"/>
        <w:rPr>
          <w:rFonts w:hint="eastAsia" w:ascii="楷体" w:hAnsi="楷体" w:eastAsia="楷体" w:cs="Times New Roman"/>
          <w:b w:val="0"/>
          <w:bCs/>
          <w:kern w:val="0"/>
          <w:sz w:val="21"/>
          <w:szCs w:val="21"/>
          <w:lang w:val="en-US" w:eastAsia="zh-CN" w:bidi="ar-SA"/>
        </w:rPr>
      </w:pPr>
      <w:r>
        <w:rPr>
          <w:rFonts w:hint="eastAsia" w:ascii="楷体" w:hAnsi="楷体" w:eastAsia="楷体" w:cs="Times New Roman"/>
          <w:b w:val="0"/>
          <w:bCs/>
          <w:kern w:val="0"/>
          <w:sz w:val="21"/>
          <w:szCs w:val="21"/>
          <w:lang w:val="en-US" w:eastAsia="zh-CN" w:bidi="ar-SA"/>
        </w:rPr>
        <w:t>未来，我司将持续对内外部经济环境进行密切跟踪和研判，持续关注各央行政策的边际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hint="eastAsia" w:ascii="楷体" w:hAnsi="楷体" w:eastAsia="楷体" w:cs="Times New Roman"/>
          <w:b w:val="0"/>
          <w:bCs/>
          <w:kern w:val="0"/>
          <w:sz w:val="21"/>
          <w:szCs w:val="21"/>
          <w:lang w:val="en-US" w:eastAsia="zh-CN" w:bidi="ar-SA"/>
        </w:rPr>
      </w:pPr>
    </w:p>
    <w:p>
      <w:pPr>
        <w:pStyle w:val="2"/>
        <w:rPr>
          <w:rFonts w:ascii="楷体" w:hAnsi="楷体"/>
          <w:b w:val="0"/>
          <w:sz w:val="21"/>
        </w:rPr>
      </w:pPr>
      <w:r>
        <w:rPr>
          <w:rFonts w:hint="eastAsia" w:ascii="楷体" w:hAnsi="楷体"/>
          <w:b w:val="0"/>
          <w:sz w:val="21"/>
        </w:rPr>
        <w:t>3</w:t>
      </w:r>
      <w:r>
        <w:rPr>
          <w:rFonts w:hint="eastAsia" w:ascii="楷体" w:hAnsi="楷体"/>
          <w:b w:val="0"/>
          <w:sz w:val="21"/>
          <w:lang w:eastAsia="zh-CN"/>
        </w:rPr>
        <w:t>、</w:t>
      </w:r>
      <w:r>
        <w:rPr>
          <w:rFonts w:hint="eastAsia" w:ascii="楷体" w:hAnsi="楷体"/>
          <w:b w:val="0"/>
          <w:sz w:val="21"/>
        </w:rPr>
        <w:t>流动性风险分析</w:t>
      </w:r>
    </w:p>
    <w:p>
      <w:pPr>
        <w:ind w:firstLine="420" w:firstLineChars="200"/>
        <w:rPr>
          <w:rFonts w:hint="eastAsia" w:ascii="楷体" w:hAnsi="楷体" w:eastAsia="楷体" w:cs="Times New Roman"/>
          <w:b w:val="0"/>
          <w:bCs/>
          <w:kern w:val="0"/>
          <w:sz w:val="21"/>
          <w:szCs w:val="21"/>
          <w:lang w:val="en-US" w:eastAsia="zh-CN" w:bidi="ar-SA"/>
        </w:rPr>
      </w:pPr>
      <w:r>
        <w:rPr>
          <w:rFonts w:hint="eastAsia" w:ascii="楷体" w:hAnsi="楷体" w:eastAsia="楷体" w:cs="Times New Roman"/>
          <w:b w:val="0"/>
          <w:bCs/>
          <w:kern w:val="0"/>
          <w:sz w:val="21"/>
          <w:szCs w:val="21"/>
          <w:lang w:val="en-US" w:eastAsia="zh-CN" w:bidi="ar-SA"/>
        </w:rPr>
        <w:t>本产品持仓资产以标准化债权类资产为主，变现能力较强，通过组合久期管理、流动性指标监测等多项措施持续加强流动性管理，有效控制产品的流动性风险。</w:t>
      </w:r>
    </w:p>
    <w:p>
      <w:pPr>
        <w:pStyle w:val="4"/>
        <w:spacing w:before="0" w:line="240" w:lineRule="auto"/>
        <w:ind w:left="0" w:right="0" w:firstLine="0" w:firstLineChars="0"/>
        <w:rPr>
          <w:rFonts w:hint="eastAsia" w:ascii="楷体" w:hAnsi="楷体" w:eastAsia="楷体" w:cs="楷体"/>
          <w:sz w:val="21"/>
        </w:rPr>
      </w:pPr>
      <w:bookmarkStart w:id="1" w:name="_GoBack"/>
      <w:bookmarkEnd w:id="1"/>
    </w:p>
    <w:p>
      <w:pPr>
        <w:ind w:firstLine="560" w:firstLineChars="200"/>
        <w:rPr>
          <w:rFonts w:hint="eastAsia" w:ascii="楷体" w:hAnsi="楷体" w:eastAsia="楷体" w:cs="楷体"/>
          <w:bCs/>
          <w:kern w:val="0"/>
          <w:szCs w:val="21"/>
        </w:rPr>
      </w:pPr>
    </w:p>
    <w:p>
      <w:pPr>
        <w:rPr>
          <w:rFonts w:hint="eastAsia" w:ascii="楷体" w:hAnsi="楷体" w:eastAsia="楷体" w:cs="楷体"/>
        </w:rPr>
      </w:pPr>
    </w:p>
    <w:p>
      <w:pPr>
        <w:ind w:firstLine="560" w:firstLineChars="200"/>
        <w:rPr>
          <w:rFonts w:hint="eastAsia" w:ascii="楷体" w:hAnsi="楷体" w:eastAsia="楷体" w:cs="楷体"/>
          <w:bCs/>
          <w:kern w:val="0"/>
          <w:szCs w:val="21"/>
        </w:rPr>
      </w:pPr>
    </w:p>
    <w:p>
      <w:pPr>
        <w:rPr>
          <w:rFonts w:hint="eastAsia" w:ascii="楷体" w:hAnsi="楷体" w:eastAsia="楷体" w:cs="楷体"/>
          <w:sz w:val="21"/>
          <w:szCs w:val="21"/>
        </w:rPr>
      </w:pPr>
    </w:p>
    <w:p>
      <w:pPr>
        <w:jc w:val="right"/>
        <w:rPr>
          <w:rFonts w:hint="eastAsia" w:ascii="楷体" w:hAnsi="楷体" w:eastAsia="楷体" w:cs="楷体"/>
          <w:sz w:val="21"/>
          <w:szCs w:val="21"/>
        </w:rPr>
      </w:pPr>
      <w:r>
        <w:rPr>
          <w:rFonts w:hint="eastAsia" w:ascii="楷体" w:hAnsi="楷体" w:eastAsia="楷体" w:cs="楷体"/>
          <w:b/>
          <w:sz w:val="21"/>
          <w:szCs w:val="21"/>
        </w:rPr>
        <w:t>苏银理财有限责任公司</w:t>
      </w:r>
    </w:p>
    <w:p>
      <w:pPr>
        <w:ind w:firstLine="630" w:firstLineChars="300"/>
        <w:jc w:val="right"/>
        <w:rPr>
          <w:rFonts w:hint="eastAsia" w:ascii="楷体" w:hAnsi="楷体" w:eastAsia="楷体" w:cs="楷体"/>
          <w:sz w:val="21"/>
          <w:szCs w:val="21"/>
        </w:rPr>
      </w:pPr>
      <w:r>
        <w:rPr>
          <w:rFonts w:hint="eastAsia" w:ascii="楷体" w:hAnsi="楷体" w:eastAsia="楷体" w:cs="楷体"/>
          <w:sz w:val="21"/>
          <w:szCs w:val="21"/>
        </w:rPr>
        <w:t>2025年06月30日</w:t>
      </w:r>
    </w:p>
    <w:p>
      <w:pPr>
        <w:rPr>
          <w:rFonts w:hint="eastAsia" w:ascii="楷体" w:hAnsi="楷体" w:eastAsia="楷体" w:cs="楷体"/>
          <w:sz w:val="21"/>
          <w:szCs w:val="21"/>
        </w:rPr>
      </w:pPr>
    </w:p>
    <w:p>
      <w:pPr>
        <w:rPr>
          <w:rFonts w:hint="eastAsia" w:ascii="楷体" w:hAnsi="楷体" w:eastAsia="楷体" w:cs="楷体"/>
          <w:sz w:val="21"/>
          <w:szCs w:val="21"/>
        </w:rPr>
      </w:pPr>
      <w:r>
        <w:rPr>
          <w:rFonts w:hint="eastAsia" w:ascii="楷体" w:hAnsi="楷体" w:eastAsia="楷体" w:cs="楷体"/>
          <w:sz w:val="21"/>
          <w:szCs w:val="21"/>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insoku w:val="0"/>
      <w:overflowPunct w:val="0"/>
      <w:spacing w:before="0" w:line="320" w:lineRule="exact"/>
      <w:ind w:left="20"/>
      <w:jc w:val="both"/>
      <w:rPr>
        <w:rFonts w:ascii="楷体" w:hAnsi="楷体" w:eastAsia="楷体" w:cs="黑体"/>
        <w:b/>
        <w:spacing w:val="-2"/>
        <w:sz w:val="24"/>
        <w:szCs w:val="24"/>
      </w:rPr>
    </w:pPr>
    <w:r>
      <w:pict>
        <v:shape id="WordPictureWatermark1026" o:spid="_x0000_s2050" o:spt="75" type="#_x0000_t75" style="position:absolute;left:0pt;height:862.85pt;width:1137.3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pict>
        <v:shape id="图片 1" o:spid="_x0000_s2051" o:spt="75" type="#_x0000_t75" style="position:absolute;left:0pt;margin-left:308.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2" o:title=""/>
          <o:lock v:ext="edit" aspectratio="t"/>
          <w10:wrap type="square"/>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5" o:spid="_x0000_s204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7" o:spid="_x0000_s2052"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D9F4F4D"/>
    <w:multiLevelType w:val="singleLevel"/>
    <w:tmpl w:val="9D9F4F4D"/>
    <w:lvl w:ilvl="0" w:tentative="0">
      <w:start w:val="3"/>
      <w:numFmt w:val="chineseCounting"/>
      <w:suff w:val="nothing"/>
      <w:lvlText w:val="（%1）"/>
      <w:lvlJc w:val="left"/>
      <w:rPr>
        <w:rFonts w:hint="eastAsia"/>
      </w:rPr>
    </w:lvl>
  </w:abstractNum>
  <w:abstractNum w:abstractNumId="1">
    <w:nsid w:val="192B173A"/>
    <w:multiLevelType w:val="singleLevel"/>
    <w:tmpl w:val="192B173A"/>
    <w:lvl w:ilvl="0" w:tentative="0">
      <w:start w:val="3"/>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w:rsids>
    <w:rsidRoot w:val="00000000"/>
    <w:rsid w:val="50CE6AA6"/>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99"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99"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8"/>
      <w:szCs w:val="22"/>
      <w:lang w:val="en-US" w:eastAsia="zh-CN" w:bidi="ar-SA"/>
    </w:rPr>
  </w:style>
  <w:style w:type="paragraph" w:styleId="2">
    <w:name w:val="heading 3"/>
    <w:basedOn w:val="1"/>
    <w:next w:val="1"/>
    <w:link w:val="23"/>
    <w:qFormat/>
    <w:uiPriority w:val="1"/>
    <w:pPr>
      <w:autoSpaceDE w:val="0"/>
      <w:autoSpaceDN w:val="0"/>
      <w:adjustRightInd w:val="0"/>
      <w:spacing w:before="34"/>
      <w:ind w:left="120"/>
      <w:jc w:val="left"/>
      <w:outlineLvl w:val="2"/>
    </w:pPr>
    <w:rPr>
      <w:rFonts w:ascii="宋体" w:hAnsi="Times New Roman" w:eastAsia="楷体"/>
      <w:b/>
      <w:bCs/>
      <w:kern w:val="0"/>
      <w:sz w:val="24"/>
      <w:szCs w:val="21"/>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Body Text"/>
    <w:basedOn w:val="1"/>
    <w:qFormat/>
    <w:uiPriority w:val="1"/>
    <w:pPr>
      <w:autoSpaceDE w:val="0"/>
      <w:autoSpaceDN w:val="0"/>
      <w:adjustRightInd w:val="0"/>
      <w:spacing w:before="162"/>
      <w:ind w:left="120"/>
      <w:jc w:val="left"/>
    </w:pPr>
    <w:rPr>
      <w:rFonts w:ascii="宋体" w:hAnsi="Times New Roman" w:eastAsia="宋体" w:cs="宋体"/>
      <w:kern w:val="0"/>
      <w:sz w:val="20"/>
      <w:szCs w:val="21"/>
    </w:rPr>
  </w:style>
  <w:style w:type="paragraph" w:styleId="5">
    <w:name w:val="Balloon Text"/>
    <w:basedOn w:val="1"/>
    <w:unhideWhenUsed/>
    <w:qFormat/>
    <w:uiPriority w:val="99"/>
    <w:rPr>
      <w:sz w:val="18"/>
      <w:szCs w:val="18"/>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unhideWhenUsed/>
    <w:qFormat/>
    <w:uiPriority w:val="99"/>
    <w:rPr>
      <w:sz w:val="21"/>
      <w:szCs w:val="21"/>
    </w:rPr>
  </w:style>
  <w:style w:type="paragraph" w:customStyle="1" w:styleId="13">
    <w:name w:val="无间隔1"/>
    <w:qFormat/>
    <w:uiPriority w:val="1"/>
    <w:pPr>
      <w:widowControl w:val="0"/>
      <w:jc w:val="both"/>
    </w:pPr>
    <w:rPr>
      <w:rFonts w:ascii="等线" w:hAnsi="等线" w:eastAsia="等线" w:cs="Times New Roman"/>
      <w:kern w:val="2"/>
      <w:sz w:val="21"/>
      <w:szCs w:val="22"/>
      <w:lang w:val="en-US" w:eastAsia="zh-CN" w:bidi="ar-SA"/>
    </w:rPr>
  </w:style>
  <w:style w:type="paragraph" w:customStyle="1" w:styleId="14">
    <w:name w:val="标题4"/>
    <w:basedOn w:val="1"/>
    <w:qFormat/>
    <w:uiPriority w:val="0"/>
    <w:rPr>
      <w:rFonts w:eastAsia="楷体"/>
    </w:rPr>
  </w:style>
  <w:style w:type="character" w:customStyle="1" w:styleId="15">
    <w:name w:val="页眉 字符"/>
    <w:qFormat/>
    <w:uiPriority w:val="99"/>
    <w:rPr>
      <w:sz w:val="18"/>
      <w:szCs w:val="18"/>
    </w:rPr>
  </w:style>
  <w:style w:type="character" w:customStyle="1" w:styleId="16">
    <w:name w:val="页脚 字符"/>
    <w:qFormat/>
    <w:uiPriority w:val="99"/>
    <w:rPr>
      <w:sz w:val="18"/>
      <w:szCs w:val="18"/>
    </w:rPr>
  </w:style>
  <w:style w:type="character" w:customStyle="1" w:styleId="17">
    <w:name w:val="正文文本 字符1"/>
    <w:qFormat/>
    <w:uiPriority w:val="1"/>
    <w:rPr>
      <w:rFonts w:ascii="宋体" w:hAnsi="Times New Roman" w:eastAsia="宋体" w:cs="宋体"/>
      <w:szCs w:val="21"/>
    </w:rPr>
  </w:style>
  <w:style w:type="character" w:customStyle="1" w:styleId="18">
    <w:name w:val="正文文本 字符"/>
    <w:semiHidden/>
    <w:qFormat/>
    <w:uiPriority w:val="99"/>
    <w:rPr>
      <w:kern w:val="2"/>
      <w:sz w:val="21"/>
      <w:szCs w:val="22"/>
    </w:rPr>
  </w:style>
  <w:style w:type="character" w:customStyle="1" w:styleId="19">
    <w:name w:val="批注文字 字符1"/>
    <w:qFormat/>
    <w:uiPriority w:val="99"/>
    <w:rPr>
      <w:kern w:val="2"/>
      <w:sz w:val="21"/>
      <w:szCs w:val="22"/>
    </w:rPr>
  </w:style>
  <w:style w:type="character" w:customStyle="1" w:styleId="20">
    <w:name w:val="批注文字 字符"/>
    <w:semiHidden/>
    <w:qFormat/>
    <w:uiPriority w:val="99"/>
    <w:rPr>
      <w:kern w:val="2"/>
      <w:sz w:val="21"/>
      <w:szCs w:val="22"/>
    </w:rPr>
  </w:style>
  <w:style w:type="character" w:customStyle="1" w:styleId="21">
    <w:name w:val="批注框文本 字符"/>
    <w:semiHidden/>
    <w:qFormat/>
    <w:uiPriority w:val="99"/>
    <w:rPr>
      <w:kern w:val="2"/>
      <w:sz w:val="18"/>
      <w:szCs w:val="18"/>
    </w:rPr>
  </w:style>
  <w:style w:type="character" w:customStyle="1" w:styleId="22">
    <w:name w:val="标题 3 字符"/>
    <w:semiHidden/>
    <w:qFormat/>
    <w:uiPriority w:val="9"/>
    <w:rPr>
      <w:b/>
      <w:bCs/>
      <w:kern w:val="2"/>
      <w:sz w:val="32"/>
      <w:szCs w:val="32"/>
    </w:rPr>
  </w:style>
  <w:style w:type="character" w:customStyle="1" w:styleId="23">
    <w:name w:val="标题 3 字符1"/>
    <w:link w:val="2"/>
    <w:qFormat/>
    <w:uiPriority w:val="1"/>
    <w:rPr>
      <w:rFonts w:ascii="宋体" w:hAnsi="Times New Roman" w:eastAsia="楷体"/>
      <w:b/>
      <w:bCs/>
      <w:sz w:val="24"/>
      <w:szCs w:val="21"/>
    </w:rPr>
  </w:style>
  <w:style w:type="character" w:customStyle="1" w:styleId="24">
    <w:name w:val="标题4 字符"/>
    <w:qFormat/>
    <w:uiPriority w:val="0"/>
    <w:rPr>
      <w:rFonts w:eastAsia="楷体"/>
      <w:kern w:val="2"/>
      <w:sz w:val="21"/>
      <w:szCs w:val="22"/>
    </w:rPr>
  </w:style>
  <w:style w:type="paragraph" w:customStyle="1" w:styleId="25">
    <w:name w:val="Table Text"/>
    <w:basedOn w:val="1"/>
    <w:semiHidden/>
    <w:qFormat/>
    <w:uiPriority w:val="0"/>
    <w:rPr>
      <w:rFonts w:ascii="楷体" w:hAnsi="楷体" w:eastAsia="楷体" w:cs="楷体"/>
      <w:sz w:val="22"/>
    </w:rPr>
  </w:style>
  <w:style w:type="table" w:customStyle="1" w:styleId="2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4.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51"/>
    <customShpInfo spid="_x0000_s2049"/>
    <customShpInfo spid="_x0000_s2052"/>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31802637FF8E4298AD1DCE61A946E12D</vt:lpwstr>
  </property>
</Properties>
</file>

<file path=customXml/item3.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customXml/item4.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2025-07-14T12:13:26Z</dcterms:modified>
  <cp:revision>22</cp:revision>
  <dc:title>“${prdInfo.PRD_NAME}”理财产品</dc:title>
</cp:cor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e8ada40-facd-4d0c-9217-89be7e49f397}">
  <ds:schemaRefs/>
</ds:datastoreItem>
</file>

<file path=customXml/itemProps3.xml><?xml version="1.0" encoding="utf-8"?>
<ds:datastoreItem xmlns:ds="http://schemas.openxmlformats.org/officeDocument/2006/customXml" ds:itemID="{f906df18-ed90-4ee7-9f16-8f69876d4b25}">
  <ds:schemaRefs/>
</ds:datastoreItem>
</file>

<file path=customXml/itemProps4.xml><?xml version="1.0" encoding="utf-8"?>
<ds:datastoreItem xmlns:ds="http://schemas.openxmlformats.org/officeDocument/2006/customXml" ds:itemID="{b0ca3cec-6148-4fe0-9eec-ada8e17cc98a}">
  <ds:schemaRefs/>
</ds:datastoreItem>
</file>

<file path=docProps/app.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0</TotalTime>
  <ScaleCrop>false</ScaleCrop>
  <LinksUpToDate>false</LinksUpToDate>
  <CharactersWithSpaces>2803</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2021-11-18T10:04:00Z</dcterms:created>
  <dc:creator>User</dc:creator>
  <cp:lastModifiedBy>jsyh</cp:lastModifiedBy>
  <dcterms:modified xsi:type="dcterms:W3CDTF">2025-07-15T12:09:26Z</dcterms:modified>
  <dc:title>_x201C__x0024__x007B_prdInfo.PRD_NAME_x007D__x201D_理财产品</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9823AF4D852A4AFCB6142BEB26E2A986</vt:lpwstr>
  </property>
</Properties>
</file>