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苏银理财恒源季开放12号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苏银理财恒源季开放12号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2023年12月06日</w:t>
      </w:r>
      <w:r>
        <w:rPr>
          <w:rFonts w:hint="eastAsia" w:ascii="楷体" w:hAnsi="楷体" w:eastAsia="楷体" w:cs="楷体"/>
        </w:rPr>
        <w:t>成立，于</w:t>
      </w:r>
      <w:r>
        <w:rPr>
          <w:rFonts w:hint="eastAsia" w:ascii="楷体" w:hAnsi="楷体" w:eastAsia="楷体" w:cs="楷体"/>
          <w:spacing w:val="-7"/>
        </w:rPr>
        <w:t>2023年12月06日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苏银理财恒源季开放12号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872,413,091.40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915,667,668.02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31000188000558655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915,832,292.97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苏银理财恒源季开放12号W</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1.047627</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1.047627</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苏银理财恒源季开放12号S</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1.04963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1.04963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苏银理财恒源季开放12号A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1.04896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1.04896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苏银理财恒源季开放12号C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1.050598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1.050598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苏银理财恒源季开放12号D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1.051424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1.051424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苏银理财恒源季开放12号F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1.048954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1.048954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苏银理财恒源季开放12号H</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1.048958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1.048958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苏银理财恒源季开放12号G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1.048944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1.048944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23.90%</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23.90%</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76.10%</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24邳投01</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40,345,205.48</w:t>
            </w:r>
          </w:p>
        </w:tc>
        <w:tc>
          <w:tcPr>
            <w:tcW w:w="1800" w:type="dxa"/>
          </w:tcPr>
          <w:p>
            <w:pPr>
              <w:jc w:val="center"/>
              <w:rPr>
                <w:rFonts w:hint="eastAsia" w:ascii="楷体" w:hAnsi="楷体" w:eastAsia="楷体" w:cs="楷体"/>
                <w:sz w:val="22"/>
              </w:rPr>
            </w:pPr>
            <w:r>
              <w:rPr>
                <w:rFonts w:hint="eastAsia" w:ascii="楷体" w:hAnsi="楷体" w:eastAsia="楷体" w:cs="楷体"/>
                <w:sz w:val="22"/>
              </w:rPr>
              <w:t>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24丽水01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40,336,219.18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24牛首04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40,325,413.70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24邳投02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30,590,289.04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24漳龙03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30,557,100.00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24盐资01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30,228,780.82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14,830,939.34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24江开01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5,113,792.21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22工商银行二级01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4,727,861.01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24诸建02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4,361,580.83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0.45%</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163,186,177.48</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122,621.99</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41,909.41</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872,413,091.40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611,935,109.91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rPr>
      </w:pPr>
      <w:r>
        <w:rPr>
          <w:rFonts w:hint="eastAsia" w:ascii="楷体" w:hAnsi="楷体" w:cs="Times New Roman"/>
          <w:b w:val="0"/>
          <w:sz w:val="21"/>
        </w:rPr>
        <w:t>本理财产品以固收类资产为主，主要配置中高等级债券，组合久期适当，兼顾净值稳定与收益进取。</w:t>
      </w:r>
      <w:r>
        <w:rPr>
          <w:rFonts w:hint="eastAsia" w:ascii="楷体" w:hAnsi="楷体" w:cs="Times New Roman"/>
          <w:b w:val="0"/>
          <w:sz w:val="21"/>
          <w:lang w:val="en-US" w:eastAsia="zh-CN"/>
        </w:rPr>
        <w:t>二</w:t>
      </w:r>
      <w:r>
        <w:rPr>
          <w:rFonts w:hint="eastAsia" w:ascii="楷体" w:hAnsi="楷体" w:cs="Times New Roman"/>
          <w:b w:val="0"/>
          <w:sz w:val="21"/>
        </w:rPr>
        <w:t>季度根据信用利差与期限利差变动情况，对信用债进行了灵活调配，积极参与确定性较高的交易机会增厚产品收益。</w:t>
      </w:r>
    </w:p>
    <w:p>
      <w:pPr>
        <w:pStyle w:val="2"/>
        <w:rPr>
          <w:rFonts w:hint="eastAsia" w:ascii="楷体" w:hAnsi="楷体" w:eastAsia="楷体" w:cs="楷体"/>
          <w:b w:val="0"/>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lang w:eastAsia="zh-CN"/>
        </w:rPr>
      </w:pPr>
      <w:r>
        <w:rPr>
          <w:rFonts w:hint="eastAsia" w:ascii="楷体" w:hAnsi="楷体" w:cs="Times New Roman"/>
          <w:b w:val="0"/>
          <w:sz w:val="21"/>
        </w:rPr>
        <w:t>未来，根据市场动态变化，控制组合久期处于合理稳健区间。资产配置上兼顾安全性、流动性和收益性，坚守风险合规底线，紧密跟踪市场变化，强化投资研究分析，致力于为广大投资者创造长期稳健的投资回报</w:t>
      </w:r>
      <w:r>
        <w:rPr>
          <w:rFonts w:hint="eastAsia" w:ascii="楷体" w:hAnsi="楷体" w:cs="Times New Roman"/>
          <w:b w:val="0"/>
          <w:sz w:val="21"/>
          <w:lang w:eastAsia="zh-CN"/>
        </w:rPr>
        <w:t>。</w:t>
      </w:r>
    </w:p>
    <w:p>
      <w:pPr>
        <w:pStyle w:val="4"/>
        <w:spacing w:before="0" w:line="240" w:lineRule="auto"/>
        <w:ind w:left="0" w:right="0" w:firstLine="0" w:firstLineChars="0"/>
        <w:jc w:val="both"/>
        <w:rPr>
          <w:rFonts w:hint="eastAsia" w:ascii="楷体" w:hAnsi="楷体" w:eastAsia="楷体" w:cs="楷体"/>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2187FE"/>
    <w:multiLevelType w:val="singleLevel"/>
    <w:tmpl w:val="D42187FE"/>
    <w:lvl w:ilvl="0" w:tentative="0">
      <w:start w:val="3"/>
      <w:numFmt w:val="decimal"/>
      <w:suff w:val="nothing"/>
      <w:lvlText w:val="%1）"/>
      <w:lvlJc w:val="left"/>
    </w:lvl>
  </w:abstractNum>
  <w:abstractNum w:abstractNumId="1">
    <w:nsid w:val="DD474A30"/>
    <w:multiLevelType w:val="singleLevel"/>
    <w:tmpl w:val="DD474A30"/>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2D6E004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943d73-57db-4290-8118-73d73d6b4ffc}">
  <ds:schemaRefs/>
</ds:datastoreItem>
</file>

<file path=customXml/itemProps3.xml><?xml version="1.0" encoding="utf-8"?>
<ds:datastoreItem xmlns:ds="http://schemas.openxmlformats.org/officeDocument/2006/customXml" ds:itemID="{63d6521c-f115-412f-8432-d3051b5574d5}">
  <ds:schemaRefs/>
</ds:datastoreItem>
</file>

<file path=customXml/itemProps4.xml><?xml version="1.0" encoding="utf-8"?>
<ds:datastoreItem xmlns:ds="http://schemas.openxmlformats.org/officeDocument/2006/customXml" ds:itemID="{9770d576-df40-4a85-8a70-6f7fc00039b6}">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2025-07-15T12:25:59Z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0CDF314CDA0E4348A333E1678444EEC0</vt:lpwstr>
  </property>
</Properties>
</file>