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苏银理财恒源1年定开16期</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2025年二季度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苏银理财恒源1年定开16期</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2021年06月30日</w:t>
      </w:r>
      <w:r>
        <w:rPr>
          <w:rFonts w:ascii="楷体" w:eastAsia="楷体" w:hAnsi="楷体" w:cs="楷体" w:hint="eastAsia"/>
        </w:rPr>
        <w:t xml:space="preserve">成立，于</w:t>
      </w:r>
      <w:r>
        <w:rPr>
          <w:rFonts w:ascii="楷体" w:eastAsia="楷体" w:hAnsi="楷体" w:cs="楷体" w:hint="eastAsia"/>
          <w:spacing w:val="-7"/>
        </w:rPr>
        <w:t xml:space="preserve">2021年06月30日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产品名称</w:t>
            </w:r>
          </w:p>
        </w:tc>
        <w:tc>
          <w:tcPr>
            <w:tcW w:w="3847" w:type="dxa"/>
          </w:tcPr>
          <w:p>
            <w:pPr>
              <w:pStyle w:val="TableText"/>
              <w:spacing w:before="56" w:line="202" w:lineRule="auto"/>
              <w:jc w:val="center"/>
              <w:rPr>
                <w:rFonts w:ascii="楷体" w:eastAsia="楷体" w:hAnsi="楷体" w:cs="楷体" w:hint="eastAsia"/>
                <w:sz w:val="24"/>
                <w:szCs w:val="24"/>
                <w:highlight w:val="yellow"/>
              </w:rPr>
            </w:pPr>
            <w:r>
              <w:rPr>
                <w:rFonts w:ascii="楷体" w:eastAsia="楷体" w:hAnsi="楷体" w:cs="楷体" w:hint="eastAsia"/>
                <w:spacing w:val="-6"/>
                <w:sz w:val="24"/>
                <w:szCs w:val="24"/>
              </w:rPr>
              <w:t xml:space="preserve">苏银理财恒源1年定开16期</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Z7003121000107</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产品运作方式</w:t>
            </w:r>
          </w:p>
        </w:tc>
        <w:tc>
          <w:tcPr>
            <w:tcW w:w="3847" w:type="dxa"/>
          </w:tcPr>
          <w:p>
            <w:pPr>
              <w:pStyle w:val="TableText"/>
              <w:spacing w:before="52" w:line="201" w:lineRule="auto"/>
              <w:jc w:val="center"/>
              <w:rPr>
                <w:rFonts w:ascii="楷体" w:eastAsia="楷体" w:hAnsi="楷体" w:cs="楷体" w:hint="eastAsia"/>
                <w:sz w:val="24"/>
                <w:szCs w:val="24"/>
                <w:highlight w:val="yellow"/>
              </w:rPr>
            </w:pPr>
            <w:r>
              <w:rPr>
                <w:rFonts w:ascii="楷体" w:eastAsia="楷体" w:hAnsi="楷体" w:cs="楷体" w:hint="eastAsia"/>
                <w:spacing w:val="-2"/>
                <w:sz w:val="24"/>
                <w:szCs w:val="24"/>
              </w:rPr>
              <w:t xml:space="preserve">开放式净值型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2,541,556,173.12</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产品资产净值（元）</w:t>
            </w:r>
          </w:p>
        </w:tc>
        <w:tc>
          <w:tcPr>
            <w:tcW w:w="3847" w:type="dxa"/>
          </w:tcPr>
          <w:p>
            <w:pPr>
              <w:pStyle w:val="TableText"/>
              <w:spacing w:before="78" w:line="182"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2,610,785,987.78</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风险收益特征</w:t>
            </w:r>
          </w:p>
        </w:tc>
        <w:tc>
          <w:tcPr>
            <w:tcW w:w="3847" w:type="dxa"/>
          </w:tcPr>
          <w:p>
            <w:pPr>
              <w:pStyle w:val="TableText"/>
              <w:spacing w:before="54" w:line="200" w:lineRule="auto"/>
              <w:jc w:val="center"/>
              <w:rPr>
                <w:rFonts w:ascii="楷体" w:eastAsia="楷体" w:hAnsi="楷体" w:cs="楷体" w:hint="eastAsia"/>
                <w:sz w:val="24"/>
                <w:szCs w:val="24"/>
                <w:highlight w:val="yellow"/>
              </w:rPr>
            </w:pPr>
            <w:r>
              <w:rPr>
                <w:rFonts w:ascii="楷体" w:eastAsia="楷体" w:hAnsi="楷体" w:cs="楷体" w:hint="eastAsia"/>
                <w:spacing w:val="-8"/>
                <w:sz w:val="24"/>
                <w:szCs w:val="24"/>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收益类型</w:t>
            </w:r>
          </w:p>
        </w:tc>
        <w:tc>
          <w:tcPr>
            <w:tcW w:w="3847" w:type="dxa"/>
          </w:tcPr>
          <w:p>
            <w:pPr>
              <w:pStyle w:val="TableText"/>
              <w:spacing w:before="56" w:line="199" w:lineRule="auto"/>
              <w:jc w:val="center"/>
              <w:rPr>
                <w:rFonts w:ascii="楷体" w:eastAsia="楷体" w:hAnsi="楷体" w:cs="楷体" w:hint="eastAsia"/>
                <w:sz w:val="24"/>
                <w:szCs w:val="24"/>
                <w:highlight w:val="yellow"/>
              </w:rPr>
            </w:pPr>
            <w:r>
              <w:rPr>
                <w:rFonts w:ascii="楷体" w:eastAsia="楷体" w:hAnsi="楷体" w:cs="楷体" w:hint="eastAsia"/>
                <w:spacing w:val="-9"/>
                <w:sz w:val="24"/>
                <w:szCs w:val="24"/>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管理人</w:t>
            </w:r>
          </w:p>
        </w:tc>
        <w:tc>
          <w:tcPr>
            <w:tcW w:w="3847" w:type="dxa"/>
          </w:tcPr>
          <w:p>
            <w:pPr>
              <w:pStyle w:val="TableText"/>
              <w:spacing w:before="55" w:line="200" w:lineRule="auto"/>
              <w:jc w:val="center"/>
              <w:rPr>
                <w:rFonts w:ascii="楷体" w:eastAsia="楷体" w:hAnsi="楷体" w:cs="楷体" w:hint="eastAsia"/>
                <w:sz w:val="24"/>
                <w:szCs w:val="24"/>
                <w:highlight w:val="yellow"/>
              </w:rPr>
            </w:pPr>
            <w:r>
              <w:rPr>
                <w:rFonts w:ascii="楷体" w:eastAsia="楷体" w:hAnsi="楷体" w:cs="楷体" w:hint="eastAsia"/>
                <w:spacing w:val="-3"/>
                <w:sz w:val="24"/>
                <w:szCs w:val="24"/>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托管人</w:t>
            </w:r>
          </w:p>
        </w:tc>
        <w:tc>
          <w:tcPr>
            <w:tcW w:w="3847" w:type="dxa"/>
          </w:tcPr>
          <w:p>
            <w:pPr>
              <w:pStyle w:val="TableText"/>
              <w:spacing w:before="56" w:line="199" w:lineRule="auto"/>
              <w:jc w:val="center"/>
              <w:rPr>
                <w:rFonts w:ascii="楷体" w:eastAsia="楷体" w:hAnsi="楷体" w:cs="楷体" w:hint="eastAsia"/>
                <w:sz w:val="24"/>
                <w:szCs w:val="24"/>
                <w:highlight w:val="yellow"/>
              </w:rPr>
            </w:pPr>
            <w:r>
              <w:rPr>
                <w:rFonts w:ascii="楷体" w:eastAsia="楷体" w:hAnsi="楷体" w:cs="楷体" w:hint="eastAsia"/>
                <w:spacing w:val="-3"/>
                <w:sz w:val="24"/>
                <w:szCs w:val="24"/>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托管账户</w:t>
            </w:r>
          </w:p>
        </w:tc>
        <w:tc>
          <w:tcPr>
            <w:tcW w:w="3847" w:type="dxa"/>
          </w:tcPr>
          <w:p>
            <w:pPr>
              <w:pStyle w:val="TableText"/>
              <w:spacing w:before="90" w:line="173"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31000188000436201</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托管账户开户行</w:t>
            </w:r>
          </w:p>
        </w:tc>
        <w:tc>
          <w:tcPr>
            <w:tcW w:w="3847" w:type="dxa"/>
          </w:tcPr>
          <w:p>
            <w:pPr>
              <w:pStyle w:val="TableText"/>
              <w:spacing w:before="56" w:line="199" w:lineRule="auto"/>
              <w:jc w:val="center"/>
              <w:rPr>
                <w:rFonts w:ascii="楷体" w:eastAsia="楷体" w:hAnsi="楷体" w:cs="楷体" w:hint="eastAsia"/>
                <w:sz w:val="24"/>
                <w:szCs w:val="24"/>
              </w:rPr>
            </w:pPr>
            <w:r>
              <w:rPr>
                <w:rFonts w:ascii="楷体" w:eastAsia="楷体" w:hAnsi="楷体" w:cs="楷体" w:hint="eastAsia"/>
                <w:spacing w:val="-2"/>
                <w:sz w:val="24"/>
                <w:szCs w:val="24"/>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产品资产总值（元）</w:t>
            </w:r>
          </w:p>
        </w:tc>
        <w:tc>
          <w:tcPr>
            <w:tcW w:w="3847" w:type="dxa"/>
          </w:tcPr>
          <w:p>
            <w:pPr>
              <w:pStyle w:val="TableText"/>
              <w:spacing w:before="81" w:line="180" w:lineRule="auto"/>
              <w:jc w:val="center"/>
              <w:rPr>
                <w:rFonts w:ascii="楷体" w:eastAsia="楷体" w:hAnsi="楷体" w:cs="楷体" w:hint="eastAsia"/>
                <w:sz w:val="24"/>
                <w:szCs w:val="24"/>
              </w:rPr>
            </w:pPr>
            <w:r>
              <w:rPr>
                <w:rFonts w:ascii="楷体" w:eastAsia="楷体" w:hAnsi="楷体" w:cs="楷体" w:hint="eastAsia"/>
                <w:spacing w:val="-1"/>
                <w:sz w:val="24"/>
                <w:szCs w:val="24"/>
              </w:rPr>
              <w:t xml:space="preserve">2,611,439,767.64</w:t>
            </w:r>
            <w:r>
              <w:rPr>
                <w:rFonts w:ascii="楷体" w:eastAsia="楷体" w:hAnsi="楷体" w:cs="楷体" w:hint="eastAsia"/>
                <w:spacing w:val="-29"/>
                <w:sz w:val="24"/>
                <w:szCs w:val="24"/>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杠杆水平</w:t>
            </w:r>
          </w:p>
        </w:tc>
        <w:tc>
          <w:tcPr>
            <w:tcW w:w="3847" w:type="dxa"/>
          </w:tcPr>
          <w:p>
            <w:pPr>
              <w:pStyle w:val="TableText"/>
              <w:spacing w:before="56" w:line="202" w:lineRule="auto"/>
              <w:jc w:val="center"/>
              <w:rPr>
                <w:rFonts w:ascii="楷体" w:eastAsia="楷体" w:hAnsi="楷体" w:cs="楷体" w:hint="eastAsia"/>
                <w:sz w:val="24"/>
                <w:szCs w:val="24"/>
              </w:rPr>
            </w:pPr>
            <w:r>
              <w:rPr>
                <w:rFonts w:ascii="楷体" w:eastAsia="楷体" w:hAnsi="楷体" w:cs="楷体" w:hint="eastAsia"/>
                <w:spacing w:val="-4"/>
                <w:sz w:val="24"/>
                <w:szCs w:val="24"/>
              </w:rPr>
              <w:t xml:space="preserve">100.03%</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rPr>
            </w:pPr>
            <w:r>
              <w:rPr>
                <w:rFonts w:ascii="楷体" w:eastAsia="楷体" w:hAnsi="楷体" w:cs="楷体" w:hint="eastAsia"/>
                <w:sz w:val="24"/>
                <w:szCs w:val="24"/>
              </w:rPr>
              <w:t xml:space="preserve">报告日期</w:t>
            </w:r>
          </w:p>
        </w:tc>
        <w:tc>
          <w:tcPr>
            <w:tcW w:w="2100" w:type="dxa"/>
          </w:tcPr>
          <w:p>
            <w:pPr>
              <w:spacing w:line="320" w:lineRule="exact"/>
              <w:jc w:val="center"/>
              <w:rPr>
                <w:rFonts w:ascii="楷体" w:eastAsia="楷体" w:hAnsi="楷体" w:cs="楷体" w:hint="eastAsia"/>
              </w:rPr>
            </w:pPr>
            <w:r>
              <w:rPr>
                <w:rFonts w:ascii="楷体" w:eastAsia="楷体" w:hAnsi="楷体" w:cs="楷体" w:hint="eastAsia"/>
                <w:sz w:val="24"/>
                <w:szCs w:val="24"/>
              </w:rPr>
              <w:t xml:space="preserve">销售</w:t>
            </w:r>
            <w:r>
              <w:rPr>
                <w:rFonts w:ascii="楷体" w:eastAsia="楷体" w:hAnsi="楷体" w:cs="楷体" w:hint="eastAsia"/>
                <w:sz w:val="24"/>
                <w:szCs w:val="24"/>
                <w:lang w:eastAsia="zh-CN"/>
              </w:rPr>
              <w:t xml:space="preserve">名</w:t>
            </w:r>
            <w:r>
              <w:rPr>
                <w:rFonts w:ascii="楷体" w:eastAsia="楷体" w:hAnsi="楷体" w:cs="楷体" w:hint="eastAsia"/>
                <w:sz w:val="24"/>
                <w:szCs w:val="24"/>
              </w:rPr>
              <w:t xml:space="preserve">称</w:t>
            </w:r>
          </w:p>
        </w:tc>
        <w:tc>
          <w:tcPr>
            <w:tcW w:w="1470" w:type="dxa"/>
          </w:tcPr>
          <w:p>
            <w:pPr>
              <w:jc w:val="center"/>
              <w:rPr>
                <w:rFonts w:ascii="楷体" w:eastAsia="楷体" w:hAnsi="楷体" w:cs="楷体" w:hint="eastAsia"/>
              </w:rPr>
            </w:pPr>
            <w:r>
              <w:rPr>
                <w:rFonts w:ascii="楷体" w:eastAsia="楷体" w:hAnsi="楷体" w:cs="楷体" w:hint="eastAsia"/>
                <w:sz w:val="24"/>
                <w:szCs w:val="24"/>
              </w:rPr>
              <w:t xml:space="preserve">单位净值</w:t>
            </w:r>
          </w:p>
        </w:tc>
        <w:tc>
          <w:tcPr>
            <w:tcW w:w="1665"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累计单位净值</w:t>
            </w:r>
          </w:p>
        </w:tc>
        <w:tc>
          <w:tcPr>
            <w:tcW w:w="1876" w:type="dxa"/>
          </w:tcPr>
          <w:p>
            <w:pPr>
              <w:jc w:val="center"/>
              <w:rPr>
                <w:rFonts w:ascii="楷体" w:eastAsia="楷体" w:hAnsi="楷体" w:cs="楷体" w:hint="eastAsia"/>
              </w:rPr>
            </w:pPr>
            <w:r>
              <w:rPr>
                <w:rFonts w:ascii="楷体" w:eastAsia="楷体" w:hAnsi="楷体" w:cs="楷体" w:hint="eastAsia"/>
                <w:sz w:val="24"/>
                <w:szCs w:val="24"/>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2025-06-30</w:t>
            </w:r>
          </w:p>
        </w:tc>
        <w:tc>
          <w:tcPr>
            <w:tcW w:w="210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苏银理财恒源1年定开16期D</w:t>
            </w:r>
          </w:p>
        </w:tc>
        <w:tc>
          <w:tcPr>
            <w:tcW w:w="147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1.02831</w:t>
            </w:r>
          </w:p>
        </w:tc>
        <w:tc>
          <w:tcPr>
            <w:tcW w:w="1665"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1.070266</w:t>
            </w:r>
          </w:p>
        </w:tc>
        <w:tc>
          <w:tcPr>
            <w:tcW w:w="1876"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2.95%-3.55%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苏银理财恒源1年定开16期F</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1.026873</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1.067139</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2.80%-3.40%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苏银理财恒源1年定开16期G</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1.027354</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1.068791</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2.85%-3.45%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苏银理财恒源1年定开16期J</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1.027832</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1.069269</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2.90%-3.50%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苏银理财恒源1年定开16期ZA（自动赎回）</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1.02688</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1.067146</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2.80%-3.40%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苏银理财恒源1年定开16期ZF（自动赎回）</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1.026872</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1.067138</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2.80%-3.40%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苏银理财恒源1年定开16期A</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1.026867</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1.151315</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2.80%-3.40%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苏银理财恒源1年定开16期B</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1.027154</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1.153063</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2.83%-3.43%</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413"/>
        <w:gridCol w:w="2610"/>
        <w:gridCol w:w="2550"/>
      </w:tblGrid>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序号</w:t>
            </w:r>
          </w:p>
        </w:tc>
        <w:tc>
          <w:tcPr>
            <w:tcW w:w="2413"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资产类别</w:t>
            </w:r>
          </w:p>
        </w:tc>
        <w:tc>
          <w:tcPr>
            <w:tcW w:w="2610" w:type="dxa"/>
            <w:vAlign w:val="center"/>
          </w:tcPr>
          <w:p>
            <w:pPr>
              <w:spacing w:line="320" w:lineRule="exact"/>
              <w:rPr>
                <w:rFonts w:ascii="楷体" w:eastAsia="楷体" w:hAnsi="楷体" w:cs="楷体" w:hint="eastAsia"/>
                <w:sz w:val="21"/>
                <w:szCs w:val="21"/>
              </w:rPr>
            </w:pPr>
            <w:r>
              <w:rPr>
                <w:rFonts w:ascii="楷体" w:eastAsia="楷体" w:hAnsi="楷体" w:cs="楷体" w:hint="eastAsia"/>
                <w:sz w:val="21"/>
                <w:szCs w:val="21"/>
              </w:rPr>
              <w:t xml:space="preserve">直接投资占总资产的比例</w:t>
            </w:r>
          </w:p>
        </w:tc>
        <w:tc>
          <w:tcPr>
            <w:tcW w:w="2550"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间接投资占总资产的比例</w:t>
            </w:r>
          </w:p>
        </w:tc>
      </w:tr>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1</w:t>
            </w:r>
          </w:p>
        </w:tc>
        <w:tc>
          <w:tcPr>
            <w:tcW w:w="2413"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固定收益类</w:t>
            </w:r>
          </w:p>
        </w:tc>
        <w:tc>
          <w:tcPr>
            <w:tcW w:w="2610"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26.11%</w:t>
            </w:r>
          </w:p>
        </w:tc>
        <w:tc>
          <w:tcPr>
            <w:tcW w:w="2550"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73.89%</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2</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权益类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3</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商品及金融衍生品类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4</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混合类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140" w:type="dxa"/>
            <w:gridSpan w:val="2"/>
            <w:shd w:val="clear" w:color="auto" w:fill="auto"/>
            <w:vAlign w:val="center"/>
          </w:tcPr>
          <w:p>
            <w:pPr>
              <w:tabs>
                <w:tab w:val="center" w:pos="1522"/>
                <w:tab w:val="right" w:pos="2924"/>
              </w:tabs>
              <w:jc w:val="left"/>
              <w:rPr>
                <w:rFonts w:ascii="楷体" w:eastAsia="楷体" w:hAnsi="楷体" w:cs="楷体" w:hint="eastAsia"/>
                <w:sz w:val="24"/>
                <w:szCs w:val="24"/>
                <w:lang w:eastAsia="zh-CN"/>
              </w:rPr>
            </w:pPr>
            <w:r>
              <w:rPr>
                <w:rFonts w:ascii="楷体" w:eastAsia="楷体" w:hAnsi="楷体" w:cs="楷体" w:hint="eastAsia"/>
                <w:sz w:val="24"/>
                <w:szCs w:val="24"/>
                <w:lang w:eastAsia="zh-CN"/>
              </w:rPr>
              <w:tab/>
            </w:r>
            <w:r>
              <w:rPr>
                <w:rFonts w:ascii="楷体" w:eastAsia="楷体" w:hAnsi="楷体" w:cs="楷体" w:hint="eastAsia"/>
                <w:sz w:val="24"/>
                <w:szCs w:val="24"/>
              </w:rPr>
              <w:t xml:space="preserve">合计</w:t>
            </w:r>
            <w:r>
              <w:rPr>
                <w:rFonts w:ascii="楷体" w:eastAsia="楷体" w:hAnsi="楷体" w:cs="楷体" w:hint="eastAsia"/>
                <w:sz w:val="24"/>
                <w:szCs w:val="24"/>
                <w:lang w:eastAsia="zh-CN"/>
              </w:rPr>
              <w:tab/>
            </w:r>
          </w:p>
        </w:tc>
        <w:tc>
          <w:tcPr>
            <w:tcW w:w="2610" w:type="dxa"/>
            <w:shd w:val="clear" w:color="auto" w:fill="auto"/>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26.11%</w:t>
            </w:r>
          </w:p>
        </w:tc>
        <w:tc>
          <w:tcPr>
            <w:tcW w:w="2550" w:type="dxa"/>
            <w:shd w:val="clear" w:color="auto" w:fill="FFFFFF"/>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73.89%</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序号</w:t>
            </w:r>
          </w:p>
        </w:tc>
        <w:tc>
          <w:tcPr>
            <w:tcW w:w="2434"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资产名称</w:t>
            </w:r>
          </w:p>
        </w:tc>
        <w:tc>
          <w:tcPr>
            <w:tcW w:w="1275"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资产类别</w:t>
            </w:r>
          </w:p>
        </w:tc>
        <w:tc>
          <w:tcPr>
            <w:tcW w:w="2235"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持有金额（元）</w:t>
            </w:r>
          </w:p>
        </w:tc>
        <w:tc>
          <w:tcPr>
            <w:tcW w:w="1800"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rPr>
            </w:pPr>
            <w:r>
              <w:rPr>
                <w:rFonts w:ascii="楷体" w:eastAsia="楷体" w:hAnsi="楷体" w:cs="楷体" w:hint="eastAsia"/>
                <w:sz w:val="22"/>
              </w:rPr>
              <w:t xml:space="preserve">1</w:t>
            </w:r>
          </w:p>
        </w:tc>
        <w:tc>
          <w:tcPr>
            <w:tcW w:w="2434" w:type="dxa"/>
          </w:tcPr>
          <w:p>
            <w:pPr>
              <w:jc w:val="center"/>
              <w:rPr>
                <w:rFonts w:ascii="楷体" w:eastAsia="楷体" w:hAnsi="楷体" w:cs="楷体" w:hint="eastAsia"/>
                <w:sz w:val="22"/>
              </w:rPr>
            </w:pPr>
            <w:r>
              <w:rPr>
                <w:rFonts w:ascii="楷体" w:eastAsia="楷体" w:hAnsi="楷体" w:cs="楷体" w:hint="eastAsia"/>
                <w:sz w:val="22"/>
              </w:rPr>
              <w:t xml:space="preserve">上海信托-常州龙控</w:t>
            </w:r>
          </w:p>
        </w:tc>
        <w:tc>
          <w:tcPr>
            <w:tcW w:w="1275" w:type="dxa"/>
          </w:tcPr>
          <w:p>
            <w:pPr>
              <w:jc w:val="center"/>
              <w:rPr>
                <w:rFonts w:ascii="楷体" w:eastAsia="楷体" w:hAnsi="楷体" w:cs="楷体" w:hint="eastAsia"/>
                <w:sz w:val="22"/>
              </w:rPr>
            </w:pPr>
            <w:r>
              <w:rPr>
                <w:rFonts w:ascii="楷体" w:eastAsia="楷体" w:hAnsi="楷体" w:cs="楷体" w:hint="eastAsia"/>
                <w:sz w:val="22"/>
              </w:rPr>
              <w:t xml:space="preserve">非标准化债权类资产</w:t>
            </w:r>
          </w:p>
        </w:tc>
        <w:tc>
          <w:tcPr>
            <w:tcW w:w="2235" w:type="dxa"/>
          </w:tcPr>
          <w:p>
            <w:pPr>
              <w:jc w:val="center"/>
              <w:rPr>
                <w:rFonts w:ascii="楷体" w:eastAsia="楷体" w:hAnsi="楷体" w:cs="楷体" w:hint="eastAsia"/>
                <w:sz w:val="22"/>
              </w:rPr>
            </w:pPr>
            <w:r>
              <w:rPr>
                <w:rFonts w:ascii="楷体" w:eastAsia="楷体" w:hAnsi="楷体" w:cs="楷体" w:hint="eastAsia"/>
                <w:sz w:val="22"/>
              </w:rPr>
              <w:t xml:space="preserve">190,240,246.84</w:t>
            </w:r>
          </w:p>
        </w:tc>
        <w:tc>
          <w:tcPr>
            <w:tcW w:w="1800" w:type="dxa"/>
          </w:tcPr>
          <w:p>
            <w:pPr>
              <w:jc w:val="center"/>
              <w:rPr>
                <w:rFonts w:ascii="楷体" w:eastAsia="楷体" w:hAnsi="楷体" w:cs="楷体" w:hint="eastAsia"/>
                <w:sz w:val="22"/>
              </w:rPr>
            </w:pPr>
            <w:r>
              <w:rPr>
                <w:rFonts w:ascii="楷体" w:eastAsia="楷体" w:hAnsi="楷体" w:cs="楷体" w:hint="eastAsia"/>
                <w:sz w:val="22"/>
              </w:rPr>
              <w:t xml:space="preserve">6.81%</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121,602,821.17</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4.35%</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25国开05</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104,269,289.70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3.73%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24邳恒03</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102,224,109.59</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3.66%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24盐投04</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102,094,246.58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3.66%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24永投01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102,049,753.42</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3.65%</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江苏信托-宁享9号-靖江北辰</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80,106,922.57</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2.87%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23青城09</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66,781,676.72</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2.39%</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23柯资04</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51,446,698.63</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1.84%</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22北外滩</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51,305,958.02</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1.84%</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龙城产业投资控股集团有限公司</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上海信托-常州龙控</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31</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190,000,000.00</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按季付息，到期一次性还本</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投资信托计划产品</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靖江市北辰城乡投资建设有限公司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江苏信托-宁享9号-靖江北辰</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24</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80,000,000.00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 到期一次性还本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龙城产业投资控股集团有限公司</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1994-06-29</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1,000,000,000.00</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对旅游、文化、房地产、文艺演艺、娱乐、酒店、商贸等行业进行投资，自有房屋租赁服务，投资咨询服务，绿化管养服务，市政府授权范围内对国有资产的经营管理。（依法须经批准的项目，经相关部门批准后方可开展经营活动）许可项目：餐饮服务；食品销售（依法须经批准的项目，经相关部门批准后方可开展经营活动，具体经营项目以审批结果为准）一般项目：特种设备销售；机械设备销售；金属制品销售；建筑材料销售；建筑装饰材料销售；家用电器销售；食用农产品零售；日用品销售（除依法须经批准的项目外，凭营业执照依法自主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靖江市北辰城乡投资建设有限公司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2011-03-28</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1,280,000,000.00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与资产管理；房屋工程建筑、道路和桥梁工程建筑、水利和港口工程建筑、工矿工程建筑、市政工程、建筑安装工程施工；普通货物仓储；建筑材料、装潢材料、金属材料、焦炭、化工原料、矿产品销售；佣金代理；自营和代理各类商品及技术的进出口的业务（国家限定企业经营或禁止进出口的商品和技术除外）。（依法须经批准的项目，经相关部门批准后方可开展经营活动）许可项目：房地产开发经营（依法须经批准的项目，经相关部门批准后方可开展经营活动，具体经营项目以审批结果为准）一般项目：煤炭及制品销售；电子产品销售；计算机软硬件及辅助设备批发；非居住房地产租赁；住房租赁（除依法须经批准的项目外，凭营业执照依法自主开展经营活动）</w:t>
            </w:r>
          </w:p>
        </w:tc>
      </w:tr>
    </w:tbl>
    <w:p>
      <w:pPr>
        <w:pStyle w:val="标题4"/>
        <w:rPr>
          <w:rFonts w:ascii="楷体" w:eastAsia="楷体" w:hAnsi="楷体" w:cs="楷体" w:hint="eastAsia"/>
        </w:rPr>
      </w:pPr>
    </w:p>
    <w:p>
      <w:pPr>
        <w:pStyle w:val="Heading3"/>
        <w:rPr>
          <w:rFonts w:ascii="楷体" w:eastAsia="楷体" w:hAnsi="楷体" w:cs="楷体" w:hint="eastAsia"/>
          <w:b w:val="0"/>
          <w:sz w:val="21"/>
        </w:rPr>
      </w:pPr>
      <w:r>
        <w:rPr>
          <w:rFonts w:ascii="楷体" w:eastAsia="楷体" w:hAnsi="楷体" w:cs="楷体" w:hint="eastAsia"/>
          <w:b w:val="0"/>
          <w:sz w:val="21"/>
        </w:rPr>
        <w:t xml:space="preserve">（四）关联交易情况</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391,359.99</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130,925.06</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注：本报告中理财产品托管费、代销费、直销费均基于产品实际支付金额进行统计。</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2025-06-30</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2,541,556,173.12</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2025-03-31</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2,541,556,173.12</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四.投资运作情况</w:t>
      </w:r>
    </w:p>
    <w:p>
      <w:pPr>
        <w:pStyle w:val="Heading3"/>
        <w:rPr>
          <w:rFonts w:ascii="楷体" w:eastAsia="楷体" w:hAnsi="楷体" w:cs="楷体" w:hint="eastAsia"/>
          <w:b w:val="0"/>
          <w:sz w:val="21"/>
        </w:rPr>
      </w:pPr>
      <w:r>
        <w:rPr>
          <w:rFonts w:ascii="楷体" w:eastAsia="楷体" w:hAnsi="楷体" w:cs="楷体" w:hint="eastAsia"/>
          <w:b w:val="0"/>
          <w:sz w:val="21"/>
        </w:rPr>
        <w:t xml:space="preserve">1、运作期回顾</w:t>
      </w:r>
    </w:p>
    <w:p>
      <w:pPr>
        <w:pStyle w:val="BodyText"/>
        <w:spacing w:before="0" w:line="240" w:lineRule="auto"/>
        <w:ind w:left="0" w:right="0" w:firstLine="0" w:firstLineChars="0"/>
        <w:rPr>
          <w:rFonts w:ascii="楷体" w:eastAsia="楷体" w:hAnsi="楷体" w:cs="楷体" w:hint="eastAsia"/>
          <w:spacing w:val="8"/>
          <w:sz w:val="21"/>
        </w:rPr>
      </w:pPr>
      <w:r>
        <w:rPr>
          <w:rFonts w:ascii="楷体" w:eastAsia="楷体" w:hAnsi="楷体" w:cs="楷体" w:hint="eastAsia"/>
          <w:spacing w:val="8"/>
          <w:sz w:val="21"/>
        </w:rPr>
        <w:t xml:space="preserve">    本理财产品以固收类资产和非标资产为主，主要配置优质非标与中高等级债券，通过对宏观经济、市场利率、债券市场需求供给的变化、信用风险等进行充分研判，主动构建并调整债券资产投资组合，力争获取超额收益。二季度债券市场整体呈震荡下行趋势，产品整体表现较为稳健，后续有望继续提供长期稳健收益。</w:t>
      </w:r>
    </w:p>
    <w:p>
      <w:pPr>
        <w:pStyle w:val="BodyText"/>
        <w:spacing w:before="43" w:line="275" w:lineRule="auto"/>
        <w:ind w:right="1799" w:firstLine="226" w:firstLineChars="100"/>
        <w:rPr>
          <w:rFonts w:ascii="楷体" w:eastAsia="楷体" w:hAnsi="楷体" w:cs="楷体" w:hint="eastAsia"/>
          <w:spacing w:val="8"/>
          <w:sz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2、后市展望及下阶段投资策略</w:t>
      </w:r>
    </w:p>
    <w:p>
      <w:pPr>
        <w:pStyle w:val="BodyText"/>
        <w:spacing w:before="0" w:line="240" w:lineRule="auto"/>
        <w:ind w:left="0" w:right="0" w:firstLine="0" w:firstLineChars="0"/>
        <w:jc w:val="both"/>
        <w:rPr>
          <w:rFonts w:ascii="楷体" w:eastAsia="楷体" w:hAnsi="楷体" w:cs="楷体" w:hint="eastAsia"/>
          <w:sz w:val="21"/>
        </w:rPr>
      </w:pPr>
      <w:r>
        <w:rPr>
          <w:rFonts w:ascii="楷体" w:eastAsia="楷体" w:hAnsi="楷体" w:cs="楷体" w:hint="eastAsia"/>
          <w:spacing w:val="9"/>
          <w:sz w:val="21"/>
        </w:rPr>
        <w:t xml:space="preserve">    从基本面看，二季度GDP增速为5.2%，经济运行总体平稳。其中工业生产增长较快，制造业温和回暖。6月规模以上工业增加值同比增长6.8%，环比增长0.50%；制造业采购经理指数(PMI)为49.7%，较5月上升0.2个百分点。金融数据方面，6月社会融资规模增量4.2万亿元，同比多增9008亿元，政府债券和对实体经济发放的贷款是拉动社会融资规模较快增长的主要因素。经济数据方面，5月社零增速冲高至6.4%之后，6月社零略有回落，同比增长4.8%，预期增5.6%，6月增速下滑主要原因在于餐饮收入增速明显下滑。物价方面，通缩压力仍然存在。4、5月CPI同比均为-0.1%，环比为0.1%和-0.2%，PPI同比为-2.7%和-3.3%，环比均为-0.4%；6月CPI同比为0.1%，环比为-0.1%，PPI同比为-3.6%，环比为-0.4%。总体二季度经济景气度虽有所回落，但仍顶住压力、迎难而上，呈现出总体平稳、稳中向好的态势。由于特朗普关税事件的持续发酵，外部不稳定不确定因素较多，国内有效需求不足，经济回升向好基础仍需加力巩固。</w:t>
      </w:r>
      <w:r>
        <w:rPr>
          <w:rFonts w:ascii="楷体" w:eastAsia="楷体" w:hAnsi="楷体" w:cs="楷体" w:hint="eastAsia"/>
          <w:spacing w:val="9"/>
          <w:sz w:val="21"/>
        </w:rPr>
        <w:br/>
      </w:r>
      <w:r>
        <w:rPr>
          <w:rFonts w:ascii="楷体" w:eastAsia="楷体" w:hAnsi="楷体" w:cs="楷体" w:hint="eastAsia"/>
          <w:spacing w:val="9"/>
          <w:sz w:val="21"/>
        </w:rPr>
        <w:t xml:space="preserve">    债券市场方面，受货币政策延续宽松基调等影响，二季度收益率整体呈现“宽幅震荡、中枢下行”特征。4月份受美国加征关税、基本面边际走弱因素影响，中长端利率大幅下行，资金面也有所回暖，因此债市走出牛平特征。5月中旬开始，国债收益率触底后快速反弹；6月中下旬开始，随着央行放量投放，资金利率超预期宽松，叠加基本面趋弱引发配置资金“跨季抢跑”，收益率再度下行。</w:t>
      </w:r>
      <w:r>
        <w:rPr>
          <w:rFonts w:ascii="楷体" w:eastAsia="楷体" w:hAnsi="楷体" w:cs="楷体" w:hint="eastAsia"/>
          <w:spacing w:val="9"/>
          <w:sz w:val="21"/>
        </w:rPr>
        <w:br/>
      </w:r>
      <w:r>
        <w:rPr>
          <w:rFonts w:ascii="楷体" w:eastAsia="楷体" w:hAnsi="楷体" w:cs="楷体" w:hint="eastAsia"/>
          <w:spacing w:val="9"/>
          <w:sz w:val="21"/>
        </w:rPr>
        <w:t xml:space="preserve">    未来，根据市场变化，控制组合久期处于合理稳健区间。资产配置上兼顾安全性、流动性和收益性，坚守风险合规底线，紧密跟踪市场变化，强化投资研究分析，致力于为广大投资者创造长期稳健的投资回报。</w:t>
      </w:r>
    </w:p>
    <w:p>
      <w:pPr>
        <w:ind w:firstLine="420" w:firstLineChars="200"/>
        <w:rPr>
          <w:rFonts w:ascii="楷体" w:eastAsia="楷体" w:hAnsi="楷体" w:cs="楷体" w:hint="eastAsia"/>
          <w:bCs/>
          <w:kern w:val="0"/>
          <w:szCs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3、流动性风险分析</w:t>
      </w:r>
    </w:p>
    <w:p>
      <w:pPr>
        <w:pStyle w:val="BodyText"/>
        <w:spacing w:before="0" w:line="240" w:lineRule="auto"/>
        <w:ind w:left="0" w:right="0" w:firstLine="0" w:firstLineChars="0"/>
        <w:rPr>
          <w:rFonts w:ascii="楷体" w:eastAsia="楷体" w:hAnsi="楷体" w:cs="楷体" w:hint="eastAsia"/>
          <w:sz w:val="21"/>
        </w:rPr>
      </w:pPr>
      <w:r>
        <w:rPr>
          <w:rFonts w:ascii="楷体" w:eastAsia="楷体" w:hAnsi="楷体" w:cs="楷体" w:hint="eastAsia"/>
          <w:spacing w:val="9"/>
          <w:sz w:val="21"/>
        </w:rPr>
        <w:t xml:space="preserve">    本产品持仓优质非标资产与中高等级债券，抗市场波动能力较强，通过组合久期管理、流动性指标监测等多项措施持续加强久期与流动性管理，有效控制产品的流动性风险。</w:t>
      </w:r>
      <w:bookmarkStart w:id="1" w:name="_GoBack"/>
      <w:bookmarkEnd w:id="1"/>
    </w:p>
    <w:p>
      <w:pPr>
        <w:ind w:firstLine="420" w:firstLineChars="200"/>
        <w:rPr>
          <w:rFonts w:ascii="楷体" w:eastAsia="楷体" w:hAnsi="楷体" w:cs="楷体" w:hint="eastAsia"/>
          <w:bCs/>
          <w:kern w:val="0"/>
          <w:szCs w:val="21"/>
        </w:rPr>
      </w:pPr>
    </w:p>
    <w:p>
      <w:pPr>
        <w:rPr>
          <w:rFonts w:ascii="楷体" w:eastAsia="楷体" w:hAnsi="楷体" w:cs="楷体" w:hint="eastAsia"/>
        </w:rPr>
      </w:pPr>
    </w:p>
    <w:p>
      <w:pPr>
        <w:ind w:firstLine="420" w:firstLineChars="200"/>
        <w:rPr>
          <w:rFonts w:ascii="楷体" w:eastAsia="楷体" w:hAnsi="楷体" w:cs="楷体" w:hint="eastAsia"/>
          <w:bCs/>
          <w:kern w:val="0"/>
          <w:szCs w:val="21"/>
        </w:rPr>
      </w:pP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2025年06月30日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A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00002FF" w:usb1="4000ACFF" w:usb2="00000001" w:usb3="00000000" w:csb0="2000019F" w:csb1="00000000"/>
  </w:font>
  <w:font w:name="DengXian">
    <w:altName w:val="宋体"/>
    <w:panose1 w:val="02010600030101010101"/>
    <w:charset w:val="86"/>
    <w:family w:val="Auto"/>
    <w:pitch w:val="default"/>
    <w:sig w:usb0="00000000" w:usb1="00000000"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3903"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3905"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3906"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3908"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0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宋体" w:hAnsi="Arial" w:eastAsiaTheme="minorEastAsia" w:cs="Arial"/>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nnotationreference">
    <w:name w:val="annotation reference"/>
    <w:uiPriority w:val="99"/>
    <w:unhideWhenUsed/>
    <w:qFormat/>
    <w:rPr>
      <w:sz w:val="21"/>
      <w:szCs w:val="21"/>
    </w:rPr>
  </w:style>
  <w:style w:type="paragraph" w:customStyle="1" w:styleId="无间隔1">
    <w:name w:val="无间隔1"/>
    <w:uiPriority w:val="1"/>
    <w:qFormat/>
    <w:pPr>
      <w:widowControl w:val="0"/>
      <w:jc w:val="both"/>
    </w:pPr>
    <w:rPr>
      <w:rFonts w:ascii="DengXian" w:eastAsia="DengXian" w:hAnsi="DengXian"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User</cp:lastModifiedBy>
  <dcterms:modified xsi:type="dcterms:W3CDTF">2025-07-14T12:13:26Z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2</TotalTime>
  <ScaleCrop>false</ScaleCrop>
  <LinksUpToDate>false</LinksUpToDate>
  <CharactersWithSpaces>2803</CharactersWithSpaces>
  <Application>WPS Office_11.8.2.11734_F1E327BC-269C-435d-A152-05C5408002CA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2</TotalTime>
  <Pages>4</Pages>
  <Words>419</Words>
  <Characters>2389</Characters>
  <Application>WPS Office_11.8.2.11734_F1E327BC-269C-435d-A152-05C5408002CA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User</cp:lastModifiedBy>
  <cp:revision>22</cp:revision>
  <dcterms:created xsi:type="dcterms:W3CDTF">2021-11-18T10:04:00Z</dcterms:created>
  <dcterms:modified xsi:type="dcterms:W3CDTF">2025-07-15T12:52:28Z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2052-11.8.2.11734</vt:lpstr>
  </property>
  <property fmtid="{D5CDD505-2E9C-101B-9397-08002B2CF9AE}" pid="3" name="ICV">
    <vt:lpstr>31802637FF8E4298AD1DCE61A946E12D</vt:lpstr>
  </property>
</Properties>
</file>