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苏银理财恒源6月定开15期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苏银理财恒源6月定开15期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2023年11月28日</w:t>
      </w:r>
      <w:r>
        <w:rPr>
          <w:rFonts w:hint="eastAsia" w:ascii="楷体" w:hAnsi="楷体" w:eastAsia="楷体" w:cs="楷体"/>
        </w:rPr>
        <w:t>成立，于</w:t>
      </w:r>
      <w:r>
        <w:rPr>
          <w:rFonts w:hint="eastAsia" w:ascii="楷体" w:hAnsi="楷体" w:eastAsia="楷体" w:cs="楷体"/>
          <w:spacing w:val="-7"/>
        </w:rPr>
        <w:t>2023年11月28日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苏银理财恒源6月定开15期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246,925,701.00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247,355,511.58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31000188000561377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247,412,823.54</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苏银理财恒源6月定开15期A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1.001714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1.047115</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苏银理财恒源6月定开15期C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1.001767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1.048703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苏银理财恒源6月定开15期D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1.001799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1.049535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苏银理财恒源6月定开15期F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1.001718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1.047123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苏银理财恒源6月定开15期G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1.001771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1.048728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苏银理财恒源6月定开15期L</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1.001718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1.047119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0.67%</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99.33%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0.67%</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99.33%</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24国开10</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6,605,109.65</w:t>
            </w:r>
          </w:p>
        </w:tc>
        <w:tc>
          <w:tcPr>
            <w:tcW w:w="1800" w:type="dxa"/>
          </w:tcPr>
          <w:p>
            <w:pPr>
              <w:jc w:val="center"/>
              <w:rPr>
                <w:rFonts w:hint="eastAsia" w:ascii="楷体" w:hAnsi="楷体" w:eastAsia="楷体" w:cs="楷体"/>
                <w:sz w:val="22"/>
              </w:rPr>
            </w:pPr>
            <w:r>
              <w:rPr>
                <w:rFonts w:hint="eastAsia" w:ascii="楷体" w:hAnsi="楷体" w:eastAsia="楷体" w:cs="楷体"/>
                <w:sz w:val="22"/>
              </w:rPr>
              <w:t>2.51%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25工商银行CD010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4,151,024.68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4,027,387.23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25农业银行CD183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2,743,255.31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24华夏银行永续债01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2,561,214.01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25海发集团MTN001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2,476,263.50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25盐城高新PPN001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2,135,939.35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25镇江城投MTN001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2,123,882.25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25苏海投资MTN001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2,121,937.37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25苏海投资MTN002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2,116,726.36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0.80%</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48,883,421.19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18,534.21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14,938.56</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246,925,701.00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299,591,615.00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楷体"/>
          <w:bCs/>
          <w:kern w:val="0"/>
          <w:szCs w:val="21"/>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bookmarkStart w:id="1" w:name="_GoBack"/>
      <w:bookmarkEnd w:id="1"/>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1F845E"/>
    <w:multiLevelType w:val="singleLevel"/>
    <w:tmpl w:val="9B1F845E"/>
    <w:lvl w:ilvl="0" w:tentative="0">
      <w:start w:val="3"/>
      <w:numFmt w:val="decimal"/>
      <w:suff w:val="nothing"/>
      <w:lvlText w:val="%1）"/>
      <w:lvlJc w:val="left"/>
    </w:lvl>
  </w:abstractNum>
  <w:abstractNum w:abstractNumId="1">
    <w:nsid w:val="0258E135"/>
    <w:multiLevelType w:val="singleLevel"/>
    <w:tmpl w:val="0258E135"/>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F71189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454844-4d17-40a1-959b-276e3f75fb4e}">
  <ds:schemaRefs/>
</ds:datastoreItem>
</file>

<file path=customXml/itemProps3.xml><?xml version="1.0" encoding="utf-8"?>
<ds:datastoreItem xmlns:ds="http://schemas.openxmlformats.org/officeDocument/2006/customXml" ds:itemID="{8106f6ee-c076-4159-8dca-305e0b4096ec}">
  <ds:schemaRefs/>
</ds:datastoreItem>
</file>

<file path=customXml/itemProps4.xml><?xml version="1.0" encoding="utf-8"?>
<ds:datastoreItem xmlns:ds="http://schemas.openxmlformats.org/officeDocument/2006/customXml" ds:itemID="{9501550c-eb72-4280-9fca-cb44388ce52f}">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2025-07-15T12:10:30Z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DE0E54B5A7DF4B439B17ACFBA6F7723D</vt:lpwstr>
  </property>
</Properties>
</file>