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苏银理财恒源6月定开3期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苏银理财恒源6月定开3期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2022年03月01日</w:t>
      </w:r>
      <w:r>
        <w:rPr>
          <w:rFonts w:hint="eastAsia" w:ascii="楷体" w:hAnsi="楷体" w:eastAsia="楷体" w:cs="楷体"/>
        </w:rPr>
        <w:t>成立，于</w:t>
      </w:r>
      <w:r>
        <w:rPr>
          <w:rFonts w:hint="eastAsia" w:ascii="楷体" w:hAnsi="楷体" w:eastAsia="楷体" w:cs="楷体"/>
          <w:spacing w:val="-7"/>
        </w:rPr>
        <w:t>2022年03月01日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苏银理财恒源6月定开3期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Z7003122000016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354,034,170.38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356,107,124.87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31000188000474650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356,158,054.38</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苏银理财恒源6月定开3期F</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1.005795</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1.083692</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苏银理财恒源6月定开3期G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1.006024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1.054583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苏银理财恒源6月定开3期A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1.005789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1.106892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苏银理财恒源6月定开3期C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1.006018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1.110226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6.17%</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93.83%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6.17%</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93.83%</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24惠科02</w:t>
            </w:r>
          </w:p>
        </w:tc>
        <w:tc>
          <w:tcPr>
            <w:tcW w:w="1275" w:type="dxa"/>
          </w:tcPr>
          <w:p>
            <w:pPr>
              <w:jc w:val="center"/>
              <w:rPr>
                <w:rFonts w:hint="eastAsia" w:ascii="楷体" w:hAnsi="楷体" w:eastAsia="楷体" w:cs="楷体"/>
                <w:sz w:val="22"/>
              </w:rPr>
            </w:pPr>
            <w:r>
              <w:rPr>
                <w:rFonts w:hint="eastAsia" w:ascii="楷体" w:hAnsi="楷体" w:eastAsia="楷体" w:cs="楷体"/>
                <w:sz w:val="22"/>
              </w:rPr>
              <w:t>债券</w:t>
            </w:r>
          </w:p>
        </w:tc>
        <w:tc>
          <w:tcPr>
            <w:tcW w:w="2235" w:type="dxa"/>
          </w:tcPr>
          <w:p>
            <w:pPr>
              <w:jc w:val="center"/>
              <w:rPr>
                <w:rFonts w:hint="eastAsia" w:ascii="楷体" w:hAnsi="楷体" w:eastAsia="楷体" w:cs="楷体"/>
                <w:sz w:val="22"/>
              </w:rPr>
            </w:pPr>
            <w:r>
              <w:rPr>
                <w:rFonts w:hint="eastAsia" w:ascii="楷体" w:hAnsi="楷体" w:eastAsia="楷体" w:cs="楷体"/>
                <w:sz w:val="22"/>
              </w:rPr>
              <w:t>20,313,987.69</w:t>
            </w:r>
          </w:p>
        </w:tc>
        <w:tc>
          <w:tcPr>
            <w:tcW w:w="1800" w:type="dxa"/>
          </w:tcPr>
          <w:p>
            <w:pPr>
              <w:jc w:val="center"/>
              <w:rPr>
                <w:rFonts w:hint="eastAsia" w:ascii="楷体" w:hAnsi="楷体" w:eastAsia="楷体" w:cs="楷体"/>
                <w:sz w:val="22"/>
              </w:rPr>
            </w:pPr>
            <w:r>
              <w:rPr>
                <w:rFonts w:hint="eastAsia" w:ascii="楷体" w:hAnsi="楷体" w:eastAsia="楷体" w:cs="楷体"/>
                <w:sz w:val="22"/>
              </w:rPr>
              <w:t>5.41%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8,075,696.11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24中信银行CD337</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5,505,722.59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25建设银行CD006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5,496,571.31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24广发Y2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3,441,396.43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3,301,826.84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25农业银行CD112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3,286,597.97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25农业银行CD131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3,282,263.29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22中国银行二级01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2,879,954.94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17吴中国太专项债</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2,481,913.12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0.66%</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55,932.13</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20,938.25</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20,468,612.41</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354,034,170.38</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612,636,584.20</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ascii="楷体" w:hAnsi="楷体"/>
          <w:b w:val="0"/>
          <w:sz w:val="21"/>
        </w:rPr>
      </w:pPr>
      <w:r>
        <w:rPr>
          <w:rFonts w:ascii="楷体" w:hAnsi="楷体"/>
          <w:b w:val="0"/>
          <w:sz w:val="21"/>
        </w:rPr>
        <w:t>1</w:t>
      </w:r>
      <w:r>
        <w:rPr>
          <w:rFonts w:hint="eastAsia" w:ascii="楷体" w:hAnsi="楷体"/>
          <w:b w:val="0"/>
          <w:sz w:val="21"/>
          <w:lang w:eastAsia="zh-CN"/>
        </w:rPr>
        <w:t>、</w:t>
      </w:r>
      <w:r>
        <w:rPr>
          <w:rFonts w:hint="eastAsia" w:ascii="楷体" w:hAnsi="楷体"/>
          <w:b w:val="0"/>
          <w:sz w:val="21"/>
        </w:rPr>
        <w:t>运作期</w:t>
      </w:r>
      <w:r>
        <w:rPr>
          <w:rFonts w:ascii="楷体" w:hAnsi="楷体"/>
          <w:b w:val="0"/>
          <w:sz w:val="21"/>
        </w:rPr>
        <w:t>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本理财产品以固收类资产为主，通过对宏观经济、市场利率、债券市场需求供给的变化、信用风险等进行充分研判，主动构建并调整债券资产投资组合，力争获取超额收益。</w:t>
      </w:r>
    </w:p>
    <w:p>
      <w:pPr>
        <w:pStyle w:val="2"/>
        <w:rPr>
          <w:rFonts w:ascii="楷体" w:hAnsi="楷体"/>
          <w:b w:val="0"/>
          <w:sz w:val="21"/>
        </w:rPr>
      </w:pPr>
    </w:p>
    <w:p>
      <w:pPr>
        <w:pStyle w:val="2"/>
        <w:rPr>
          <w:rFonts w:ascii="楷体" w:hAnsi="楷体"/>
          <w:b w:val="0"/>
          <w:sz w:val="21"/>
        </w:rPr>
      </w:pPr>
      <w:r>
        <w:rPr>
          <w:rFonts w:ascii="楷体" w:hAnsi="楷体"/>
          <w:b w:val="0"/>
          <w:sz w:val="21"/>
        </w:rPr>
        <w:t>2</w:t>
      </w:r>
      <w:r>
        <w:rPr>
          <w:rFonts w:hint="eastAsia" w:ascii="楷体" w:hAnsi="楷体"/>
          <w:b w:val="0"/>
          <w:sz w:val="21"/>
          <w:lang w:eastAsia="zh-CN"/>
        </w:rPr>
        <w:t>、</w:t>
      </w:r>
      <w:r>
        <w:rPr>
          <w:rFonts w:ascii="楷体" w:hAnsi="楷体"/>
          <w:b w:val="0"/>
          <w:sz w:val="21"/>
        </w:rPr>
        <w:t>后市展望及下阶段投资策略</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Times New Roman"/>
          <w:b w:val="0"/>
          <w:bCs/>
          <w:kern w:val="0"/>
          <w:sz w:val="21"/>
          <w:szCs w:val="21"/>
          <w:lang w:val="en-US" w:eastAsia="zh-CN" w:bidi="ar-SA"/>
        </w:rPr>
      </w:pPr>
    </w:p>
    <w:p>
      <w:pPr>
        <w:pStyle w:val="2"/>
        <w:rPr>
          <w:rFonts w:ascii="楷体" w:hAnsi="楷体"/>
          <w:b w:val="0"/>
          <w:sz w:val="21"/>
        </w:rPr>
      </w:pPr>
      <w:r>
        <w:rPr>
          <w:rFonts w:hint="eastAsia" w:ascii="楷体" w:hAnsi="楷体"/>
          <w:b w:val="0"/>
          <w:sz w:val="21"/>
        </w:rPr>
        <w:t>3</w:t>
      </w:r>
      <w:r>
        <w:rPr>
          <w:rFonts w:hint="eastAsia" w:ascii="楷体" w:hAnsi="楷体"/>
          <w:b w:val="0"/>
          <w:sz w:val="21"/>
          <w:lang w:eastAsia="zh-CN"/>
        </w:rPr>
        <w:t>、</w:t>
      </w:r>
      <w:r>
        <w:rPr>
          <w:rFonts w:hint="eastAsia" w:ascii="楷体" w:hAnsi="楷体"/>
          <w:b w:val="0"/>
          <w:sz w:val="21"/>
        </w:rPr>
        <w:t>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p>
      <w:pPr>
        <w:pStyle w:val="4"/>
        <w:spacing w:before="0" w:line="240" w:lineRule="auto"/>
        <w:ind w:left="0" w:right="0" w:firstLine="0" w:firstLineChars="0"/>
        <w:rPr>
          <w:rFonts w:hint="eastAsia" w:ascii="楷体" w:hAnsi="楷体" w:eastAsia="楷体" w:cs="楷体"/>
          <w:sz w:val="21"/>
        </w:rPr>
      </w:pPr>
      <w:bookmarkStart w:id="1" w:name="_GoBack"/>
      <w:bookmarkEnd w:id="1"/>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601969"/>
    <w:multiLevelType w:val="singleLevel"/>
    <w:tmpl w:val="B5601969"/>
    <w:lvl w:ilvl="0" w:tentative="0">
      <w:start w:val="3"/>
      <w:numFmt w:val="chineseCounting"/>
      <w:suff w:val="nothing"/>
      <w:lvlText w:val="（%1）"/>
      <w:lvlJc w:val="left"/>
      <w:rPr>
        <w:rFonts w:hint="eastAsia"/>
      </w:rPr>
    </w:lvl>
  </w:abstractNum>
  <w:abstractNum w:abstractNumId="1">
    <w:nsid w:val="429CD0B5"/>
    <w:multiLevelType w:val="singleLevel"/>
    <w:tmpl w:val="429CD0B5"/>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46EF03F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395799-56d4-4d8b-8e26-a76526e0cd55}">
  <ds:schemaRefs/>
</ds:datastoreItem>
</file>

<file path=customXml/itemProps3.xml><?xml version="1.0" encoding="utf-8"?>
<ds:datastoreItem xmlns:ds="http://schemas.openxmlformats.org/officeDocument/2006/customXml" ds:itemID="{ec2a8c16-0e40-4ea4-9b58-1a48641a669b}">
  <ds:schemaRefs/>
</ds:datastoreItem>
</file>

<file path=customXml/itemProps4.xml><?xml version="1.0" encoding="utf-8"?>
<ds:datastoreItem xmlns:ds="http://schemas.openxmlformats.org/officeDocument/2006/customXml" ds:itemID="{02e65858-d256-4366-a0f9-8fcec58f7e12}">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2025-07-15T12:06:45Z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4F6DEE15BA92430B858FEA7AB92B7652</vt:lpwstr>
  </property>
</Properties>
</file>