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苏银理财恒源6月定开12期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苏银理财恒源6月定开12期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2022年07月13日</w:t>
      </w:r>
      <w:r>
        <w:rPr>
          <w:rFonts w:hint="eastAsia" w:ascii="楷体" w:hAnsi="楷体" w:eastAsia="楷体" w:cs="楷体"/>
        </w:rPr>
        <w:t>成立，于</w:t>
      </w:r>
      <w:r>
        <w:rPr>
          <w:rFonts w:hint="eastAsia" w:ascii="楷体" w:hAnsi="楷体" w:eastAsia="楷体" w:cs="楷体"/>
          <w:spacing w:val="-7"/>
        </w:rPr>
        <w:t>2022年07月13日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苏银理财恒源6月定开12期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Z7003122000090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422,006,602.08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426,391,899.57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31000188000494802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426,443,328.94</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100.01%</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苏银理财恒源6月定开12期A</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1.010193</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1.091143</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苏银理财恒源6月定开12期C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1.010576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1.094132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苏银理财恒源6月定开12期D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1.010763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1.094564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2.45%-3.25%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苏银理财恒源6月定开12期F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1.010203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1.091161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苏银理财恒源6月定开12期G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1.010577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1.083375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2.40%-3.20%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5.25%</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94.75%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5.25%</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94.75%</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24盐官02</w:t>
            </w:r>
          </w:p>
        </w:tc>
        <w:tc>
          <w:tcPr>
            <w:tcW w:w="1275" w:type="dxa"/>
          </w:tcPr>
          <w:p>
            <w:pPr>
              <w:jc w:val="center"/>
              <w:rPr>
                <w:rFonts w:hint="eastAsia" w:ascii="楷体" w:hAnsi="楷体" w:eastAsia="楷体" w:cs="楷体"/>
                <w:sz w:val="22"/>
              </w:rPr>
            </w:pPr>
            <w:r>
              <w:rPr>
                <w:rFonts w:hint="eastAsia" w:ascii="楷体" w:hAnsi="楷体" w:eastAsia="楷体" w:cs="楷体"/>
                <w:sz w:val="22"/>
              </w:rPr>
              <w:t>债券</w:t>
            </w:r>
          </w:p>
        </w:tc>
        <w:tc>
          <w:tcPr>
            <w:tcW w:w="2235" w:type="dxa"/>
          </w:tcPr>
          <w:p>
            <w:pPr>
              <w:jc w:val="center"/>
              <w:rPr>
                <w:rFonts w:hint="eastAsia" w:ascii="楷体" w:hAnsi="楷体" w:eastAsia="楷体" w:cs="楷体"/>
                <w:sz w:val="22"/>
              </w:rPr>
            </w:pPr>
            <w:r>
              <w:rPr>
                <w:rFonts w:hint="eastAsia" w:ascii="楷体" w:hAnsi="楷体" w:eastAsia="楷体" w:cs="楷体"/>
                <w:sz w:val="22"/>
              </w:rPr>
              <w:t>20,380,460.27</w:t>
            </w:r>
          </w:p>
        </w:tc>
        <w:tc>
          <w:tcPr>
            <w:tcW w:w="1800" w:type="dxa"/>
          </w:tcPr>
          <w:p>
            <w:pPr>
              <w:jc w:val="center"/>
              <w:rPr>
                <w:rFonts w:hint="eastAsia" w:ascii="楷体" w:hAnsi="楷体" w:eastAsia="楷体" w:cs="楷体"/>
                <w:sz w:val="22"/>
              </w:rPr>
            </w:pPr>
            <w:r>
              <w:rPr>
                <w:rFonts w:hint="eastAsia" w:ascii="楷体" w:hAnsi="楷体" w:eastAsia="楷体" w:cs="楷体"/>
                <w:sz w:val="22"/>
              </w:rPr>
              <w:t>4.59%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9,243,945.42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24中信银行CD337</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4,496,446.55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25建设银行CD006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4,488,972.82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3,965,228.14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24广发Y2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2,810,540.28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25农业银行CD112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2,684,118.55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25农业银行CD131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2,680,578.47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25农业银行CD183</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2,498,049.76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22中国银行二级01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2,440,991.97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0.55%</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34,104.96</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21,391.84</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422,006,602.08</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422,006,602.08</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ascii="楷体" w:hAnsi="楷体"/>
          <w:b w:val="0"/>
          <w:sz w:val="21"/>
        </w:rPr>
      </w:pPr>
      <w:r>
        <w:rPr>
          <w:rFonts w:ascii="楷体" w:hAnsi="楷体"/>
          <w:b w:val="0"/>
          <w:sz w:val="21"/>
        </w:rPr>
        <w:t>1</w:t>
      </w:r>
      <w:r>
        <w:rPr>
          <w:rFonts w:hint="eastAsia" w:ascii="楷体" w:hAnsi="楷体"/>
          <w:b w:val="0"/>
          <w:sz w:val="21"/>
          <w:lang w:eastAsia="zh-CN"/>
        </w:rPr>
        <w:t>、</w:t>
      </w:r>
      <w:r>
        <w:rPr>
          <w:rFonts w:hint="eastAsia" w:ascii="楷体" w:hAnsi="楷体"/>
          <w:b w:val="0"/>
          <w:sz w:val="21"/>
        </w:rPr>
        <w:t>运作期</w:t>
      </w:r>
      <w:r>
        <w:rPr>
          <w:rFonts w:ascii="楷体" w:hAnsi="楷体"/>
          <w:b w:val="0"/>
          <w:sz w:val="21"/>
        </w:rPr>
        <w:t>回顾</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二季度债市在超预期关税驱动下先是急涨，随后进入震荡格局。期间，关税作为宏观层面的主要矛盾，前期债市主要围绕关税谈判本身进行博弈，并在首次谈判促进税率下调后出现回调；后期则主要围绕关税影响寻找方向，即关税客观上导致经济边际走弱和资金面持续宽松，收益率重新向季初低点回落。</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4月初，特朗普政府“对等关税”意外冲击全球市场，关税政策的落地和加税幅度超出市场预期，从风险偏好、基本面以及随之而来的政策应对举措等维度全方面影响债市投资者的预期，10年、30年活跃利率债快速下行接近前低。虽然后续中美在日内瓦、伦敦达成了缓和关税冲突的协定，但利率仅出现短期扰动，并未持续上行、回到或接近关税冲突前的点位。事后看，“对等关税”对债市的影响相对加速了、阶段性加深了此前基于“基本面阶段性压力-狭义流动性趋松”的看多逻辑，因此快速下行后，5-6月无风险收益率逐渐趋于震荡，波动率大幅下降。</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随着资金价格中枢逐步下行，债市对宽松的定价逐步深化，主要体现在：1）信用利差明显压缩，5月12日以来，5年中债隐含评级AA（2）城投债信用利差累计下行超15bp；2）长期信用债活跃度提升、利率新老券利差压缩</w:t>
      </w:r>
      <w:r>
        <w:rPr>
          <w:rFonts w:hint="default" w:ascii="楷体" w:hAnsi="楷体" w:cs="Times New Roman"/>
          <w:b w:val="0"/>
          <w:sz w:val="21"/>
        </w:rPr>
        <w:t>。</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本理财产品以固收类资产为主，通过对宏观经济、市场利率、债券市场需求供给的变化、信用风险等进行充分研判，主动构建并调整债券资产投资组合，力争获取超额收益。</w:t>
      </w:r>
    </w:p>
    <w:p>
      <w:pPr>
        <w:pStyle w:val="2"/>
        <w:rPr>
          <w:rFonts w:ascii="楷体" w:hAnsi="楷体"/>
          <w:b w:val="0"/>
          <w:sz w:val="21"/>
        </w:rPr>
      </w:pPr>
    </w:p>
    <w:p>
      <w:pPr>
        <w:pStyle w:val="2"/>
        <w:rPr>
          <w:rFonts w:ascii="楷体" w:hAnsi="楷体"/>
          <w:b w:val="0"/>
          <w:sz w:val="21"/>
        </w:rPr>
      </w:pPr>
      <w:r>
        <w:rPr>
          <w:rFonts w:ascii="楷体" w:hAnsi="楷体"/>
          <w:b w:val="0"/>
          <w:sz w:val="21"/>
        </w:rPr>
        <w:t>2</w:t>
      </w:r>
      <w:r>
        <w:rPr>
          <w:rFonts w:hint="eastAsia" w:ascii="楷体" w:hAnsi="楷体"/>
          <w:b w:val="0"/>
          <w:sz w:val="21"/>
          <w:lang w:eastAsia="zh-CN"/>
        </w:rPr>
        <w:t>、</w:t>
      </w:r>
      <w:r>
        <w:rPr>
          <w:rFonts w:ascii="楷体" w:hAnsi="楷体"/>
          <w:b w:val="0"/>
          <w:sz w:val="21"/>
        </w:rPr>
        <w:t>后市展望及下阶段投资策略</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Times New Roman"/>
          <w:b w:val="0"/>
          <w:bCs/>
          <w:kern w:val="0"/>
          <w:sz w:val="21"/>
          <w:szCs w:val="21"/>
          <w:lang w:val="en-US" w:eastAsia="zh-CN" w:bidi="ar-SA"/>
        </w:rPr>
      </w:pPr>
    </w:p>
    <w:p>
      <w:pPr>
        <w:pStyle w:val="2"/>
        <w:rPr>
          <w:rFonts w:ascii="楷体" w:hAnsi="楷体"/>
          <w:b w:val="0"/>
          <w:sz w:val="21"/>
        </w:rPr>
      </w:pPr>
      <w:r>
        <w:rPr>
          <w:rFonts w:hint="eastAsia" w:ascii="楷体" w:hAnsi="楷体"/>
          <w:b w:val="0"/>
          <w:sz w:val="21"/>
        </w:rPr>
        <w:t>3</w:t>
      </w:r>
      <w:r>
        <w:rPr>
          <w:rFonts w:hint="eastAsia" w:ascii="楷体" w:hAnsi="楷体"/>
          <w:b w:val="0"/>
          <w:sz w:val="21"/>
          <w:lang w:eastAsia="zh-CN"/>
        </w:rPr>
        <w:t>、</w:t>
      </w:r>
      <w:r>
        <w:rPr>
          <w:rFonts w:hint="eastAsia" w:ascii="楷体" w:hAnsi="楷体"/>
          <w:b w:val="0"/>
          <w:sz w:val="21"/>
        </w:rPr>
        <w:t>流动性风险分析</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本产品持仓资产以标准化债权类资产为主，变现能力较强，通过组合久期管理、流动性指标监测等多项措施持续加强流动性管理，有效控制产品的流动性风险。</w:t>
      </w:r>
    </w:p>
    <w:p>
      <w:pPr>
        <w:ind w:firstLine="560" w:firstLineChars="200"/>
        <w:rPr>
          <w:rFonts w:hint="eastAsia" w:ascii="楷体" w:hAnsi="楷体" w:eastAsia="楷体" w:cs="楷体"/>
          <w:bCs/>
          <w:kern w:val="0"/>
          <w:szCs w:val="21"/>
        </w:rPr>
      </w:pPr>
      <w:bookmarkStart w:id="1" w:name="_GoBack"/>
      <w:bookmarkEnd w:id="1"/>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550FDB"/>
    <w:multiLevelType w:val="singleLevel"/>
    <w:tmpl w:val="BA550FDB"/>
    <w:lvl w:ilvl="0" w:tentative="0">
      <w:start w:val="3"/>
      <w:numFmt w:val="decimal"/>
      <w:suff w:val="nothing"/>
      <w:lvlText w:val="%1）"/>
      <w:lvlJc w:val="left"/>
    </w:lvl>
  </w:abstractNum>
  <w:abstractNum w:abstractNumId="1">
    <w:nsid w:val="F97CED97"/>
    <w:multiLevelType w:val="singleLevel"/>
    <w:tmpl w:val="F97CED97"/>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469E2ACE"/>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ba0d74b-aefe-44df-aff7-a62aef9d118d}">
  <ds:schemaRefs/>
</ds:datastoreItem>
</file>

<file path=customXml/itemProps3.xml><?xml version="1.0" encoding="utf-8"?>
<ds:datastoreItem xmlns:ds="http://schemas.openxmlformats.org/officeDocument/2006/customXml" ds:itemID="{349e2240-f185-43d0-88d4-54aef2c8a172}">
  <ds:schemaRefs/>
</ds:datastoreItem>
</file>

<file path=customXml/itemProps4.xml><?xml version="1.0" encoding="utf-8"?>
<ds:datastoreItem xmlns:ds="http://schemas.openxmlformats.org/officeDocument/2006/customXml" ds:itemID="{2eb9b92d-6662-4077-bf4f-88ee8958eaba}">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2025-07-15T12:09:40Z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0E2AEC325C0E4694B37C1F1A26B04D59</vt:lpwstr>
  </property>
</Properties>
</file>