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苏银理财恒源1年定开2014期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2025年二季度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苏银理财恒源1年定开2014期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2021年01月15日</w:t>
      </w:r>
      <w:r>
        <w:rPr>
          <w:rFonts w:ascii="楷体" w:eastAsia="楷体" w:hAnsi="楷体" w:cs="楷体" w:hint="eastAsia"/>
        </w:rPr>
        <w:t xml:space="preserve">成立，于</w:t>
      </w:r>
      <w:r>
        <w:rPr>
          <w:rFonts w:ascii="楷体" w:eastAsia="楷体" w:hAnsi="楷体" w:cs="楷体" w:hint="eastAsia"/>
          <w:spacing w:val="-7"/>
        </w:rPr>
        <w:t xml:space="preserve">2021年01月15日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产品名称</w:t>
            </w:r>
          </w:p>
        </w:tc>
        <w:tc>
          <w:tcPr>
            <w:tcW w:w="3847" w:type="dxa"/>
          </w:tcPr>
          <w:p>
            <w:pPr>
              <w:pStyle w:val="TableText"/>
              <w:spacing w:before="56" w:line="202" w:lineRule="auto"/>
              <w:jc w:val="center"/>
              <w:rPr>
                <w:rFonts w:ascii="楷体" w:eastAsia="楷体" w:hAnsi="楷体" w:cs="楷体" w:hint="eastAsia"/>
                <w:sz w:val="24"/>
                <w:szCs w:val="24"/>
                <w:highlight w:val="yellow"/>
              </w:rPr>
            </w:pPr>
            <w:r>
              <w:rPr>
                <w:rFonts w:ascii="楷体" w:eastAsia="楷体" w:hAnsi="楷体" w:cs="楷体" w:hint="eastAsia"/>
                <w:spacing w:val="-6"/>
                <w:sz w:val="24"/>
                <w:szCs w:val="24"/>
              </w:rPr>
              <w:t xml:space="preserve">苏银理财恒源1年定开2014期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Z7003121000084</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产品运作方式</w:t>
            </w:r>
          </w:p>
        </w:tc>
        <w:tc>
          <w:tcPr>
            <w:tcW w:w="3847" w:type="dxa"/>
          </w:tcPr>
          <w:p>
            <w:pPr>
              <w:pStyle w:val="TableText"/>
              <w:spacing w:before="52" w:line="201" w:lineRule="auto"/>
              <w:jc w:val="center"/>
              <w:rPr>
                <w:rFonts w:ascii="楷体" w:eastAsia="楷体" w:hAnsi="楷体" w:cs="楷体" w:hint="eastAsia"/>
                <w:sz w:val="24"/>
                <w:szCs w:val="24"/>
                <w:highlight w:val="yellow"/>
              </w:rPr>
            </w:pPr>
            <w:r>
              <w:rPr>
                <w:rFonts w:ascii="楷体" w:eastAsia="楷体" w:hAnsi="楷体" w:cs="楷体" w:hint="eastAsia"/>
                <w:spacing w:val="-2"/>
                <w:sz w:val="24"/>
                <w:szCs w:val="24"/>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6,464,412,757.85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产品资产净值（元）</w:t>
            </w:r>
          </w:p>
        </w:tc>
        <w:tc>
          <w:tcPr>
            <w:tcW w:w="3847" w:type="dxa"/>
          </w:tcPr>
          <w:p>
            <w:pPr>
              <w:pStyle w:val="TableText"/>
              <w:spacing w:before="78" w:line="182"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6,540,551,207.04</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风险收益特征</w:t>
            </w:r>
          </w:p>
        </w:tc>
        <w:tc>
          <w:tcPr>
            <w:tcW w:w="3847" w:type="dxa"/>
          </w:tcPr>
          <w:p>
            <w:pPr>
              <w:pStyle w:val="TableText"/>
              <w:spacing w:before="54" w:line="200" w:lineRule="auto"/>
              <w:jc w:val="center"/>
              <w:rPr>
                <w:rFonts w:ascii="楷体" w:eastAsia="楷体" w:hAnsi="楷体" w:cs="楷体" w:hint="eastAsia"/>
                <w:sz w:val="24"/>
                <w:szCs w:val="24"/>
                <w:highlight w:val="yellow"/>
              </w:rPr>
            </w:pPr>
            <w:r>
              <w:rPr>
                <w:rFonts w:ascii="楷体" w:eastAsia="楷体" w:hAnsi="楷体" w:cs="楷体" w:hint="eastAsia"/>
                <w:spacing w:val="-8"/>
                <w:sz w:val="24"/>
                <w:szCs w:val="24"/>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收益类型</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9"/>
                <w:sz w:val="24"/>
                <w:szCs w:val="24"/>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管理人</w:t>
            </w:r>
          </w:p>
        </w:tc>
        <w:tc>
          <w:tcPr>
            <w:tcW w:w="3847" w:type="dxa"/>
          </w:tcPr>
          <w:p>
            <w:pPr>
              <w:pStyle w:val="TableText"/>
              <w:spacing w:before="55" w:line="200"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托管人</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w:t>
            </w:r>
          </w:p>
        </w:tc>
        <w:tc>
          <w:tcPr>
            <w:tcW w:w="3847" w:type="dxa"/>
          </w:tcPr>
          <w:p>
            <w:pPr>
              <w:pStyle w:val="TableText"/>
              <w:spacing w:before="90" w:line="173"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31000188000405750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托管账户开户行</w:t>
            </w:r>
          </w:p>
        </w:tc>
        <w:tc>
          <w:tcPr>
            <w:tcW w:w="3847" w:type="dxa"/>
          </w:tcPr>
          <w:p>
            <w:pPr>
              <w:pStyle w:val="TableText"/>
              <w:spacing w:before="56" w:line="199" w:lineRule="auto"/>
              <w:jc w:val="center"/>
              <w:rPr>
                <w:rFonts w:ascii="楷体" w:eastAsia="楷体" w:hAnsi="楷体" w:cs="楷体" w:hint="eastAsia"/>
                <w:sz w:val="24"/>
                <w:szCs w:val="24"/>
              </w:rPr>
            </w:pPr>
            <w:r>
              <w:rPr>
                <w:rFonts w:ascii="楷体" w:eastAsia="楷体" w:hAnsi="楷体" w:cs="楷体" w:hint="eastAsia"/>
                <w:spacing w:val="-2"/>
                <w:sz w:val="24"/>
                <w:szCs w:val="24"/>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产品资产总值（元）</w:t>
            </w:r>
          </w:p>
        </w:tc>
        <w:tc>
          <w:tcPr>
            <w:tcW w:w="3847" w:type="dxa"/>
          </w:tcPr>
          <w:p>
            <w:pPr>
              <w:pStyle w:val="TableText"/>
              <w:spacing w:before="81" w:line="180" w:lineRule="auto"/>
              <w:jc w:val="center"/>
              <w:rPr>
                <w:rFonts w:ascii="楷体" w:eastAsia="楷体" w:hAnsi="楷体" w:cs="楷体" w:hint="eastAsia"/>
                <w:sz w:val="24"/>
                <w:szCs w:val="24"/>
              </w:rPr>
            </w:pPr>
            <w:r>
              <w:rPr>
                <w:rFonts w:ascii="楷体" w:eastAsia="楷体" w:hAnsi="楷体" w:cs="楷体" w:hint="eastAsia"/>
                <w:spacing w:val="-1"/>
                <w:sz w:val="24"/>
                <w:szCs w:val="24"/>
              </w:rPr>
              <w:t xml:space="preserve">7,861,248,348.05</w:t>
            </w:r>
            <w:r>
              <w:rPr>
                <w:rFonts w:ascii="楷体" w:eastAsia="楷体" w:hAnsi="楷体" w:cs="楷体" w:hint="eastAsia"/>
                <w:spacing w:val="-29"/>
                <w:sz w:val="24"/>
                <w:szCs w:val="24"/>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杠杆水平</w:t>
            </w:r>
          </w:p>
        </w:tc>
        <w:tc>
          <w:tcPr>
            <w:tcW w:w="3847" w:type="dxa"/>
          </w:tcPr>
          <w:p>
            <w:pPr>
              <w:pStyle w:val="TableText"/>
              <w:spacing w:before="56" w:line="202" w:lineRule="auto"/>
              <w:jc w:val="center"/>
              <w:rPr>
                <w:rFonts w:ascii="楷体" w:eastAsia="楷体" w:hAnsi="楷体" w:cs="楷体" w:hint="eastAsia"/>
                <w:sz w:val="24"/>
                <w:szCs w:val="24"/>
              </w:rPr>
            </w:pPr>
            <w:r>
              <w:rPr>
                <w:rFonts w:ascii="楷体" w:eastAsia="楷体" w:hAnsi="楷体" w:cs="楷体" w:hint="eastAsia"/>
                <w:spacing w:val="-4"/>
                <w:sz w:val="24"/>
                <w:szCs w:val="24"/>
              </w:rPr>
              <w:t xml:space="preserve">120.19%</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报告日期</w:t>
            </w:r>
          </w:p>
        </w:tc>
        <w:tc>
          <w:tcPr>
            <w:tcW w:w="210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销售</w:t>
            </w:r>
            <w:r>
              <w:rPr>
                <w:rFonts w:ascii="楷体" w:eastAsia="楷体" w:hAnsi="楷体" w:cs="楷体" w:hint="eastAsia"/>
                <w:sz w:val="24"/>
                <w:szCs w:val="24"/>
                <w:lang w:eastAsia="zh-CN"/>
              </w:rPr>
              <w:t xml:space="preserve">名</w:t>
            </w:r>
            <w:r>
              <w:rPr>
                <w:rFonts w:ascii="楷体" w:eastAsia="楷体" w:hAnsi="楷体" w:cs="楷体" w:hint="eastAsia"/>
                <w:sz w:val="24"/>
                <w:szCs w:val="24"/>
              </w:rPr>
              <w:t xml:space="preserve">称</w:t>
            </w:r>
          </w:p>
        </w:tc>
        <w:tc>
          <w:tcPr>
            <w:tcW w:w="1470" w:type="dxa"/>
          </w:tcPr>
          <w:p>
            <w:pPr>
              <w:jc w:val="center"/>
              <w:rPr>
                <w:rFonts w:ascii="楷体" w:eastAsia="楷体" w:hAnsi="楷体" w:cs="楷体" w:hint="eastAsia"/>
              </w:rPr>
            </w:pPr>
            <w:r>
              <w:rPr>
                <w:rFonts w:ascii="楷体" w:eastAsia="楷体" w:hAnsi="楷体" w:cs="楷体" w:hint="eastAsia"/>
                <w:sz w:val="24"/>
                <w:szCs w:val="24"/>
              </w:rPr>
              <w:t xml:space="preserve">单位净值</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累计单位净值</w:t>
            </w:r>
          </w:p>
        </w:tc>
        <w:tc>
          <w:tcPr>
            <w:tcW w:w="1876" w:type="dxa"/>
          </w:tcPr>
          <w:p>
            <w:pPr>
              <w:jc w:val="center"/>
              <w:rPr>
                <w:rFonts w:ascii="楷体" w:eastAsia="楷体" w:hAnsi="楷体" w:cs="楷体" w:hint="eastAsia"/>
              </w:rPr>
            </w:pPr>
            <w:r>
              <w:rPr>
                <w:rFonts w:ascii="楷体" w:eastAsia="楷体" w:hAnsi="楷体" w:cs="楷体" w:hint="eastAsia"/>
                <w:sz w:val="24"/>
                <w:szCs w:val="24"/>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2025-06-30</w:t>
            </w:r>
          </w:p>
        </w:tc>
        <w:tc>
          <w:tcPr>
            <w:tcW w:w="210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苏银理财恒源1年定开2014期D</w:t>
            </w:r>
          </w:p>
        </w:tc>
        <w:tc>
          <w:tcPr>
            <w:tcW w:w="147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1.012163</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1.047893</w:t>
            </w:r>
          </w:p>
        </w:tc>
        <w:tc>
          <w:tcPr>
            <w:tcW w:w="1876"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2.75%-3.35%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苏银理财恒源1年定开2014期F</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1.011676</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1.045831</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苏银理财恒源1年定开2014期J</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1.012</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1.047205</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苏银理财恒源1年定开2014期ZA（自动赎回）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1.011675</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1.04583</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苏银理财恒源1年定开2014期ZF（自动赎回）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1.011675</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1.04583</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苏银理财恒源1年定开2014期P</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1.012488</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1.012488</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2.85%-3.45%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苏银理财恒源1年定开2014期ZN（自动赎回）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1.012294</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1.012294</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2.79%-3.39%</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苏银理财恒源1年定开2014期B</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1.011771</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1.091105</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2.63%-3.23%</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苏银理财恒源1年定开2014期G</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1.011837</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1.092638</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苏银理财恒源1年定开2014期A</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1.011674</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1.180019</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2.60%-3.20%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413"/>
        <w:gridCol w:w="2610"/>
        <w:gridCol w:w="2550"/>
      </w:tblGrid>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序号</w:t>
            </w:r>
          </w:p>
        </w:tc>
        <w:tc>
          <w:tcPr>
            <w:tcW w:w="2413"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资产类别</w:t>
            </w:r>
          </w:p>
        </w:tc>
        <w:tc>
          <w:tcPr>
            <w:tcW w:w="2610" w:type="dxa"/>
            <w:vAlign w:val="center"/>
          </w:tcPr>
          <w:p>
            <w:pPr>
              <w:spacing w:line="320" w:lineRule="exact"/>
              <w:rPr>
                <w:rFonts w:ascii="楷体" w:eastAsia="楷体" w:hAnsi="楷体" w:cs="楷体" w:hint="eastAsia"/>
                <w:sz w:val="21"/>
                <w:szCs w:val="21"/>
              </w:rPr>
            </w:pPr>
            <w:r>
              <w:rPr>
                <w:rFonts w:ascii="楷体" w:eastAsia="楷体" w:hAnsi="楷体" w:cs="楷体" w:hint="eastAsia"/>
                <w:sz w:val="21"/>
                <w:szCs w:val="21"/>
              </w:rPr>
              <w:t xml:space="preserve">直接投资占总资产的比例</w:t>
            </w:r>
          </w:p>
        </w:tc>
        <w:tc>
          <w:tcPr>
            <w:tcW w:w="2550"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间接投资占总资产的比例</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w:t>
            </w:r>
          </w:p>
        </w:tc>
        <w:tc>
          <w:tcPr>
            <w:tcW w:w="2413"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固定收益类</w:t>
            </w:r>
          </w:p>
        </w:tc>
        <w:tc>
          <w:tcPr>
            <w:tcW w:w="261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52.40%</w:t>
            </w:r>
          </w:p>
        </w:tc>
        <w:tc>
          <w:tcPr>
            <w:tcW w:w="255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44.59%</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2</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权益类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2.87%</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0.14%</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3</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商品及金融衍生品类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4</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混合类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140" w:type="dxa"/>
            <w:gridSpan w:val="2"/>
            <w:shd w:val="clear" w:color="auto" w:fill="auto"/>
            <w:vAlign w:val="center"/>
          </w:tcPr>
          <w:p>
            <w:pPr>
              <w:tabs>
                <w:tab w:val="center" w:pos="1522"/>
                <w:tab w:val="right" w:pos="2924"/>
              </w:tabs>
              <w:jc w:val="left"/>
              <w:rPr>
                <w:rFonts w:ascii="楷体" w:eastAsia="楷体" w:hAnsi="楷体" w:cs="楷体" w:hint="eastAsia"/>
                <w:sz w:val="24"/>
                <w:szCs w:val="24"/>
                <w:lang w:eastAsia="zh-CN"/>
              </w:rPr>
            </w:pPr>
            <w:r>
              <w:rPr>
                <w:rFonts w:ascii="楷体" w:eastAsia="楷体" w:hAnsi="楷体" w:cs="楷体" w:hint="eastAsia"/>
                <w:sz w:val="24"/>
                <w:szCs w:val="24"/>
                <w:lang w:eastAsia="zh-CN"/>
              </w:rPr>
              <w:tab/>
            </w:r>
            <w:r>
              <w:rPr>
                <w:rFonts w:ascii="楷体" w:eastAsia="楷体" w:hAnsi="楷体" w:cs="楷体" w:hint="eastAsia"/>
                <w:sz w:val="24"/>
                <w:szCs w:val="24"/>
              </w:rPr>
              <w:t xml:space="preserve">合计</w:t>
            </w:r>
            <w:r>
              <w:rPr>
                <w:rFonts w:ascii="楷体" w:eastAsia="楷体" w:hAnsi="楷体" w:cs="楷体" w:hint="eastAsia"/>
                <w:sz w:val="24"/>
                <w:szCs w:val="24"/>
                <w:lang w:eastAsia="zh-CN"/>
              </w:rPr>
              <w:tab/>
            </w:r>
          </w:p>
        </w:tc>
        <w:tc>
          <w:tcPr>
            <w:tcW w:w="2610" w:type="dxa"/>
            <w:shd w:val="clear" w:color="auto" w:fill="auto"/>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55.27%</w:t>
            </w:r>
          </w:p>
        </w:tc>
        <w:tc>
          <w:tcPr>
            <w:tcW w:w="2550" w:type="dxa"/>
            <w:shd w:val="clear" w:color="auto" w:fill="FFFFFF"/>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44.73%</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序号</w:t>
            </w:r>
          </w:p>
        </w:tc>
        <w:tc>
          <w:tcPr>
            <w:tcW w:w="2434"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资产名称</w:t>
            </w:r>
          </w:p>
        </w:tc>
        <w:tc>
          <w:tcPr>
            <w:tcW w:w="127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资产类别</w:t>
            </w:r>
          </w:p>
        </w:tc>
        <w:tc>
          <w:tcPr>
            <w:tcW w:w="223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持有金额（元）</w:t>
            </w:r>
          </w:p>
        </w:tc>
        <w:tc>
          <w:tcPr>
            <w:tcW w:w="1800"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rPr>
            </w:pPr>
            <w:r>
              <w:rPr>
                <w:rFonts w:ascii="楷体" w:eastAsia="楷体" w:hAnsi="楷体" w:cs="楷体" w:hint="eastAsia"/>
                <w:sz w:val="22"/>
              </w:rPr>
              <w:t xml:space="preserve">1</w:t>
            </w:r>
          </w:p>
        </w:tc>
        <w:tc>
          <w:tcPr>
            <w:tcW w:w="2434" w:type="dxa"/>
          </w:tcPr>
          <w:p>
            <w:pPr>
              <w:jc w:val="center"/>
              <w:rPr>
                <w:rFonts w:ascii="楷体" w:eastAsia="楷体" w:hAnsi="楷体" w:cs="楷体" w:hint="eastAsia"/>
                <w:sz w:val="22"/>
              </w:rPr>
            </w:pPr>
            <w:r>
              <w:rPr>
                <w:rFonts w:ascii="楷体" w:eastAsia="楷体" w:hAnsi="楷体" w:cs="楷体" w:hint="eastAsia"/>
                <w:sz w:val="22"/>
              </w:rPr>
              <w:t xml:space="preserve">中粮信托-栗泽5号-京东金条</w:t>
            </w:r>
          </w:p>
        </w:tc>
        <w:tc>
          <w:tcPr>
            <w:tcW w:w="1275" w:type="dxa"/>
          </w:tcPr>
          <w:p>
            <w:pPr>
              <w:jc w:val="center"/>
              <w:rPr>
                <w:rFonts w:ascii="楷体" w:eastAsia="楷体" w:hAnsi="楷体" w:cs="楷体" w:hint="eastAsia"/>
                <w:sz w:val="22"/>
              </w:rPr>
            </w:pPr>
            <w:r>
              <w:rPr>
                <w:rFonts w:ascii="楷体" w:eastAsia="楷体" w:hAnsi="楷体" w:cs="楷体" w:hint="eastAsia"/>
                <w:sz w:val="22"/>
              </w:rPr>
              <w:t xml:space="preserve">非标准化债权类资产</w:t>
            </w:r>
          </w:p>
        </w:tc>
        <w:tc>
          <w:tcPr>
            <w:tcW w:w="2235" w:type="dxa"/>
          </w:tcPr>
          <w:p>
            <w:pPr>
              <w:jc w:val="center"/>
              <w:rPr>
                <w:rFonts w:ascii="楷体" w:eastAsia="楷体" w:hAnsi="楷体" w:cs="楷体" w:hint="eastAsia"/>
                <w:sz w:val="22"/>
              </w:rPr>
            </w:pPr>
            <w:r>
              <w:rPr>
                <w:rFonts w:ascii="楷体" w:eastAsia="楷体" w:hAnsi="楷体" w:cs="楷体" w:hint="eastAsia"/>
                <w:sz w:val="22"/>
              </w:rPr>
              <w:t xml:space="preserve">290,591,123.22</w:t>
            </w:r>
          </w:p>
        </w:tc>
        <w:tc>
          <w:tcPr>
            <w:tcW w:w="1800" w:type="dxa"/>
          </w:tcPr>
          <w:p>
            <w:pPr>
              <w:jc w:val="center"/>
              <w:rPr>
                <w:rFonts w:ascii="楷体" w:eastAsia="楷体" w:hAnsi="楷体" w:cs="楷体" w:hint="eastAsia"/>
                <w:sz w:val="22"/>
              </w:rPr>
            </w:pPr>
            <w:r>
              <w:rPr>
                <w:rFonts w:ascii="楷体" w:eastAsia="楷体" w:hAnsi="楷体" w:cs="楷体" w:hint="eastAsia"/>
                <w:sz w:val="22"/>
              </w:rPr>
              <w:t xml:space="preserve">3.59%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江苏信托-宁享14号-江宁科教园</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250,386,366.67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3.09%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中信信托-惠诚8号-蚂蚁花呗-第二期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201,178,630.43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2.48%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中信信托·惠通10号（微信分付）</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191,332,342.02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2.36%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北方信托-宿运1号-宿迁运河港</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170,275,520.90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2.10%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天津信托-向实32号-蚂蚁花呗-第二期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150,860,959.02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1.86%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江苏信托-宁享14号-大丰谐城</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150,297,923.33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1.86%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中信信托-苏赢57号-高淳建发一期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130,209,913.54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1.61%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重庆信托-融源1号集合资金信托计划（仪征水交）</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120,271,388.63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1.48%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陆家嘴信托-苏睿30号1期-吉山国资</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120,223,501.97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1.48%</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京东导流、信托自主审核通过的借款人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中粮信托-栗泽5号-京东金条</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253</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290,000,000.00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循环期按季付息不还本，摊还期每月过手摊还本息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南京江宁（大学）科教创新园有限公司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江苏信托-宁享14号-江宁科教园</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273</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蚂蚁个人消费授信付款资产借款人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中信信托-惠诚8号-蚂蚁花呗-第二期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270</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微信导流、信托自主审核通过的借款人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中信信托·惠通10号（微信分付）</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270</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190,000,000.00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宿迁市运河港区开发集团有限公司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北方信托-宿运1号-宿迁运河港</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273</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170,000,000.00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盐城市大丰区谐城实业发展有限公司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江苏信托-宁享14号-大丰谐城</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273</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150,000,000.00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蚂蚁个人消费授信付款资产借款人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天津信托-向实32号-蚂蚁花呗-第二期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270</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150,000,000.00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南京市高淳区建设发展集团有限公司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中信信托-苏赢57号-高淳建发一期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266</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130,000,000.00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仪征市水交投资有限公司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重庆信托-融源1号集合资金信托计划（仪征水交）</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273</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120,000,000.00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南京吉山国有资产运营集团有限公司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陆家嘴信托-苏睿30号1期-吉山国资</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273</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120,000,000.00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淮安市花卉苗木发展经营有限公司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中信信托-苏赢52号-淮安花卉</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273</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110,000,000.00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江苏银宝控股集团有限公司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北方信托-江城1号-江苏银宝</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273</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蚂蚁消费授信付款资产借款人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中信信托-惠诚8号-蚂蚁花呗-第三期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246</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马上导流、信托自主审核通过的借款人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外贸信托-汇金鑫选101号（四十四期）-3（马上消金）</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271</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90,000,000.00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江苏吕四港集团有限公司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陆家嘴信托-苏睿28号-吕四港</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273</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60,000,000.00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按半年度付息，到期一次性还本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射阳建设投资集团有限公司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江苏信托-宁享14号-射阳建投</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273</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建信保险资管-浦江惠鑫2号资产支持计划第2期（月付）-C</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268</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14,000,000.00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建信保险资管-浦江惠鑫2号第2期（月付）-优先B</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268</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14,000,000.00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淮安高新控股有限公司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中信信托-苏赢53号-淮安高新-2</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272</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江苏云港发展集团有限公司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上海信托-江苏云港</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272</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苏皖合作示范区建设发展集团有限公司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北方信托-苏江1号-苏皖合作-1</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270</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淮安高新控股有限公司</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2011-10-10</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4,000,000,000.00</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土地开发整理；市政道路建设；园林绿化建设及养护；商业旅游开发和公共设施建设；房屋租赁；物业管理服务；建筑材料及花卉苗木销售；市政府授权的其他项目经营。（依法须经批准的项目，经相关部门批准的方可开展经营活动）许可项目：各类工程建设活动（依法须经批准的项目，经相关部门批准后方可开展经营活动，具体经营项目以审批结果为准）</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马上导流、信托自主审核通过的借款人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南京江宁（大学）科教创新园有限公司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2011-07-08</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1,976,579,538.00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资金信托，动产信托，不动产信托，有价证券信托，其他财产或财产权信托，作为投资基金或者基金管理公司发起人从事投资基金业务，经营企业资产重组、购并及项目融资、公司理财、财务顾问等业务，受托经营国务院有关部门批准的证券承销业务，办理居间、咨询、资信调查等业务，代保管及保管箱业务，以存放同业、拆放同业、贷款、租赁、投资方式运用固有财产，以固有财产为他人提供担保，从事同业拆借，法律法规规定或中国银行业监督管理委员会批准的其他业务。【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苏皖合作示范区建设发展集团有限公司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2016-06-24</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1,500,000,000.00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园区基础设施投资、开发及建设，城市市政建设，房地产开发经营，城市建设项目的投资，金属材料、五金产品、电气设备、建筑装饰材料、机械设备的销售，自有房屋租赁，园林绿化工程、市政工程施工及养护，土地综合整治，房屋拆迁，物业管理，树木、花卉、蔬菜、其他园艺作物种植，生态休闲观光，农业开发。（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微信导流、信托自主审核通过的借款人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淮安市花卉苗木发展经营有限公司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2008-11-19</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216,000,000.00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花卉、苗木、建材销售；林圃开发；生态旅游项目开发；土地整理；基础设施建设；市政府授权的其他项目经营。（依法须经批准的项目，经相关部门批准的方可开展经营活动）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蚂蚁个人消费授信付款资产借款人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宿迁市运河港区开发集团有限公司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2013-11-13</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道路普通货物运输（待取得相应许可后方可经营）；市政公用工程施工，公路工程施工；对基础设施建设投资；农村土地复垦；资产管理。（依法须经批准的项目，经相关部门批准后方可开展经营活动）许可项目：保税物流中心经营；进出口代理；技术进出口；货物进出口；国营贸易管理货物的进出口；食品进出口；水路普通货物运输；港口经营（依法须经批准的项目，经相关部门批准后方可开展经营活动，具体经营项目以审批结果为准）一般项目：园林绿化工程施工；建筑材料销售；机械设备销售；林业产品销售；花卉种植；花卉绿植租借与代管理；住房租赁；非居住房地产租赁；物业管理；船舶港口服务；港口货物装卸搬运活动（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蚂蚁消费授信付款资产借款人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江苏吕四港集团有限公司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2011-01-14</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房地产开发、销售，临港工业区开发、建设和经营，滩涂围垦、港口建设和经营，港口码头、船闸、桥梁和道路基础设施建设。（依法须经批准的项目，经相关部门批准后方可开展经营活动）一般项目：船舶港口服务；普通货物仓储服务（不含危险化学品等需许可审批的项目）；水资源专用机械设备制造（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仪征市水交投资有限公司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2003-08-29</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2,200,512,800.00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交通与水利工程投资建设；交通与水利资源开发、利用、服务；交通与水利基础设施养护管理；交通与水利技术推广与服务；自有资产投资。(依法须经批准的项目，经相关部门批准后方可开展经营活动)许可项目：水产养殖；河道疏浚施工专业作业(依法须经批准的项目，经相关部门批准后方可开展经营活动，具体经营项目以审批结果为准)一般项目：水污染治理；水产品批发；水产品零售；茶叶种植；农副产品销售(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江苏银宝控股集团有限公司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1998-08-21</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2,200,000,000.00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政府授权的国有资产和国有股权的经营、管理及资本运作；土地整理及开发；实业投资；资产管理；货物道路运输；货物水路运输；货物仓储（除危险化学品）；房地产开发经营；原盐、加工盐的生产、销售；盐业机械、电力、种植、养殖产品的开发、制造、加工、销售，国内贸易；土地使用权、房屋、机械设备租赁；企业管理咨询。（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江苏云港发展集团有限公司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2009-01-06</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许可项目：房地产开发经营；建设工程施工；酒类经营；保税物流中心经营；水产养殖；道路货物运输（不含危险货物）；港口经营；建设工程设计（依法须经批准的项目，经相关部门批准后方可开展经营活动，具体经营项目以审批结果为准）一般项目：以自有资金从事投资活动；自有资金投资的资产管理服务；水泥制品销售；建筑用钢筋产品销售；针纺织品及原料销售；化工产品销售（不含许可类化工产品）；高性能有色金属及合金材料销售；非金属矿及制品销售；汽车零配件零售；建筑材料销售；金属材料销售；五金产品零售；五金产品批发；土地整治服务；工程管理服务；租赁服务（不含许可类租赁服务）；货物进出口；国内贸易代理；食品进出口；技术进出口；进出口代理；园区管理服务；技术服务、技术开发、技术咨询、技术交流、技术转让、技术推广；农副产品销售；非居住房地产租赁；土地使用权租赁；技术推广服务；渔业机械销售；农作物种子经营（仅限不再分装的包装种子）；粮食收购；林业产品销售；园林绿化工程施工；日用品销售；城市绿化管理；信息咨询服务（不含许可类信息咨询服务）；港口理货（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射阳建设投资集团有限公司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2015-04-23</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政府授权委托的公益性投资；实业投资；投资项目管理；投资咨询（国家有专项规定的除外）；城市基础设施、市政工程、道路工程、园林绿化工程、污水管网工程、棚户区改造工程、城市综合管廊工程和水电气工程施工（承装电力设施除外）；保障性住房（经济适用房、公租廉租房、安置房、限价商品房）开发经营；其他房地产开发经营；为房屋征收提供服务（国家有专项规定的和法律法规禁止的活动除外）；城镇化项目开发建设；餐饮服务（按许可证经营）；住宿服务（按许可证经营）。（依法须经批准的项目，经相关部门批准后方可开展经营活动）一般项目：物业管理；建筑材料销售；煤炭及制品销售；初级农产品收购；食用农产品批发；食用农产品零售；水产品收购；水产品批发；水产品零售；林业产品销售；森林经营和管护；木材收购；木材销售（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南京吉山国有资产运营集团有限公司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2019-04-24</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3,500,000,000.00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许可项目：建设工程施工（依法须经批准的项目，经相关部门批准后方可开展经营活动，具体经营项目以审批结果为准）一般项目：创业空间服务；园区管理服务；市政设施管理；以自有资金从事投资活动；停车场服务；创业投资（限投资未上市企业）；会议及展览服务；土地整治服务；建筑材料销售；园林绿化工程施工；城市绿化管理；商业综合体管理服务；物业管理；住房租赁；租赁服务（不含许可类租赁服务）；酒店管理；工程管理服务；供应链管理服务（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盐城市大丰区谐城实业发展有限公司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2014-04-10</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基础设施建设；管道工程建设；房屋拆除；土地整理；建筑材料销售；市政工程施工；建筑装饰设计；家具制造；货物运输代理；蔬菜、瓜果、花卉、树木种植；水产养殖；太阳能发电项目开发、建设；太阳能光伏发电、售电；风力发电项目开发、建设；风力发电、售电。（依法须经批准的项目，经相关部门批准后方可开展经营活动）许可项目：货物进出口；技术进出口；进出口代理（依法须经批准的项目，经相关部门批准后方可开展经营活动，具体经营项目以审批结果为准）一般项目：煤炭及制品销售；非金属矿及制品销售；金属材料销售；金属矿石销售；金属制品销售；日用木制品销售；软木制品销售；化工产品销售（不含许可类化工产品）；机械设备销售；机械零件、零部件销售；电子产品销售；农副产品销售；畜牧渔业饲料销售；水泥制品销售；汽车新车销售；汽车零配件批发；特种设备销售；第一类医疗器械销售；石油制品销售（不含危险化学品）；电池销售；电线、电缆经营；新鲜蔬菜批发；新鲜蔬菜零售；谷物种植；谷物销售（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南京市高淳区建设发展集团有限公司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2016-10-28</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1,200,000,000.00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接受区政府授权范围内的基础设施、公共项目的投资、融资、建设、运营、管理；负责授权范围内的国有资产经营与管理、对外投资、资本运作。（依法须经批准的项目，经相关部门批准后方可开展经营活动）</w:t>
            </w:r>
          </w:p>
        </w:tc>
      </w:tr>
    </w:tbl>
    <w:p>
      <w:pPr>
        <w:pStyle w:val="标题4"/>
        <w:rPr>
          <w:rFonts w:ascii="楷体" w:eastAsia="楷体" w:hAnsi="楷体" w:cs="楷体" w:hint="eastAsia"/>
        </w:rPr>
      </w:pPr>
    </w:p>
    <w:p>
      <w:pPr>
        <w:pStyle w:val="Heading3"/>
        <w:rPr>
          <w:rFonts w:ascii="楷体" w:eastAsia="楷体" w:hAnsi="楷体" w:cs="楷体" w:hint="eastAsia"/>
          <w:b w:val="0"/>
          <w:sz w:val="21"/>
        </w:rPr>
      </w:pPr>
      <w:r>
        <w:rPr>
          <w:rFonts w:ascii="楷体" w:eastAsia="楷体" w:hAnsi="楷体" w:cs="楷体" w:hint="eastAsia"/>
          <w:b w:val="0"/>
          <w:sz w:val="21"/>
        </w:rPr>
        <w:t xml:space="preserve">（四）关联交易情况</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ZZGL202504091188</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江苏信托安源4号集合资金信托计划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20,157,754.59</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65,430,893.77</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66,000,000.00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ZZGL202504091190</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江苏信托安源6号集合资金信托计划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49,956,437.99</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50,000,000.00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二级交易</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华泰证券股份有限公司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10,050,924.52</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1,376,913.57</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327,985.66</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注：本报告中理财产品托管费、代销费、直销费均基于产品实际支付金额进行统计。</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6,464,412,757.85</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2025-03-31</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6,464,412,757.85</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二季度债券市场整体呈震荡下行趋势，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从基本面看，二季度GDP增速为5.2%，经济运行总体平稳。其中工业生产增长较快，制造业温和回暖。6月规模以上工业增加值同比增长6.8%，环比增长0.50%；制造业采购经理指数(PMI)为49.7%，较5月上升0.2个百分点。金融数据方面，6月社会融资规模增量4.2万亿元，同比多增9008亿元，政府债券和对实体经济发放的贷款是拉动社会融资规模较快增长的主要因素。经济数据方面，5月社零增速冲高至6.4%之后，6月社零略有回落，同比增长4.8%，预期增5.6%，6月增速下滑主要原因在于餐饮收入增速明显下滑。物价方面，通缩压力仍然存在。4、5月CPI同比均为-0.1%，环比为0.1%和-0.2%，PPI同比为-2.7%和-3.3%，环比均为-0.4%；6月CPI同比为0.1%，环比为-0.1%，PPI同比为-3.6%，环比为-0.4%。总体二季度经济景气度虽有所回落，但仍顶住压力、迎难而上，呈现出总体平稳、稳中向好的态势。由于特朗普关税事件的持续发酵，外部不稳定不确定因素较多，国内有效需求不足，经济回升向好基础仍需加力巩固。</w:t>
      </w:r>
      <w:r>
        <w:rPr>
          <w:rFonts w:ascii="楷体" w:eastAsia="楷体" w:hAnsi="楷体" w:cs="楷体" w:hint="eastAsia"/>
          <w:spacing w:val="9"/>
          <w:sz w:val="21"/>
        </w:rPr>
        <w:br/>
      </w:r>
      <w:r>
        <w:rPr>
          <w:rFonts w:ascii="楷体" w:eastAsia="楷体" w:hAnsi="楷体" w:cs="楷体" w:hint="eastAsia"/>
          <w:spacing w:val="9"/>
          <w:sz w:val="21"/>
        </w:rPr>
        <w:t xml:space="preserve">    债券市场方面，受货币政策延续宽松基调等影响，二季度收益率整体呈现“宽幅震荡、中枢下行”特征。4月份受美国加征关税、基本面边际走弱因素影响，中长端利率大幅下行，资金面也有所回暖，因此债市走出牛平特征。5月中旬开始，国债收益率触底后快速反弹；6月中下旬开始，随着央行放量投放，资金利率超预期宽松，叠加基本面趋弱引发配置资金“跨季抢跑”，收益率再度下行。</w:t>
      </w:r>
      <w:r>
        <w:rPr>
          <w:rFonts w:ascii="楷体" w:eastAsia="楷体" w:hAnsi="楷体" w:cs="楷体" w:hint="eastAsia"/>
          <w:spacing w:val="9"/>
          <w:sz w:val="21"/>
        </w:rPr>
        <w:br/>
      </w:r>
      <w:r>
        <w:rPr>
          <w:rFonts w:ascii="楷体" w:eastAsia="楷体" w:hAnsi="楷体" w:cs="楷体" w:hint="eastAsia"/>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本产品持仓优质非标资产与中高等级债券，抗市场波动能力较强，通过组合久期管理、流动性指标监测等多项措施持续加强久期与流动性管理，有效控制产品的流动性风险。</w:t>
      </w:r>
      <w:bookmarkStart w:id="1" w:name="_GoBack"/>
      <w:bookmarkEnd w:id="1"/>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2025年06月30日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A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DengXian">
    <w:altName w:val="宋体"/>
    <w:panose1 w:val="02010600030101010101"/>
    <w:charset w:val="86"/>
    <w:family w:val="Auto"/>
    <w:pitch w:val="default"/>
    <w:sig w:usb0="00000000" w:usb1="00000000"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3791"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3793"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3794"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3796"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nnotationreference">
    <w:name w:val="annotation reference"/>
    <w:uiPriority w:val="99"/>
    <w:unhideWhenUsed/>
    <w:qFormat/>
    <w:rPr>
      <w:sz w:val="21"/>
      <w:szCs w:val="21"/>
    </w:rPr>
  </w:style>
  <w:style w:type="paragraph" w:customStyle="1" w:styleId="无间隔1">
    <w:name w:val="无间隔1"/>
    <w:uiPriority w:val="1"/>
    <w:qFormat/>
    <w:pPr>
      <w:widowControl w:val="0"/>
      <w:jc w:val="both"/>
    </w:pPr>
    <w:rPr>
      <w:rFonts w:ascii="DengXian" w:eastAsia="DengXian" w:hAnsi="DengXian"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User</cp:lastModifiedBy>
  <dcterms:modified xsi:type="dcterms:W3CDTF">2025-07-14T12:13:26Z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2</TotalTime>
  <ScaleCrop>false</ScaleCrop>
  <LinksUpToDate>false</LinksUpToDate>
  <CharactersWithSpaces>2803</CharactersWithSpaces>
  <Application>WPS Office_11.8.2.11734_F1E327BC-269C-435d-A152-05C5408002CA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2</TotalTime>
  <Pages>4</Pages>
  <Words>419</Words>
  <Characters>2389</Characters>
  <Application>WPS Office_11.8.2.11734_F1E327BC-269C-435d-A152-05C5408002CA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User</cp:lastModifiedBy>
  <cp:revision>22</cp:revision>
  <dcterms:created xsi:type="dcterms:W3CDTF">2021-11-18T10:04:00Z</dcterms:created>
  <dcterms:modified xsi:type="dcterms:W3CDTF">2025-07-15T12:51:07Z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2052-11.8.2.11734</vt:lpstr>
  </property>
  <property fmtid="{D5CDD505-2E9C-101B-9397-08002B2CF9AE}" pid="3" name="ICV">
    <vt:lpstr>31802637FF8E4298AD1DCE61A946E12D</vt:lpstr>
  </property>
</Properties>
</file>