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8"/>
        <w:spacing w:before="0" w:beforeAutospacing="0" w:after="0" w:afterAutospacing="0"/>
        <w:jc w:val="center"/>
        <w:rPr>
          <w:rFonts w:hint="eastAsia" w:ascii="楷体" w:hAnsi="楷体" w:eastAsia="楷体" w:cs="楷体"/>
          <w:b/>
          <w:sz w:val="36"/>
          <w:szCs w:val="36"/>
        </w:rPr>
      </w:pPr>
      <w:r>
        <w:rPr>
          <w:rFonts w:hint="eastAsia" w:ascii="楷体" w:hAnsi="楷体" w:eastAsia="楷体" w:cs="楷体"/>
          <w:b/>
          <w:sz w:val="36"/>
          <w:szCs w:val="36"/>
        </w:rPr>
        <w:t>“</w:t>
      </w:r>
      <w:r>
        <w:rPr>
          <w:rFonts w:hint="eastAsia" w:ascii="楷体" w:hAnsi="楷体" w:eastAsia="楷体" w:cs="楷体"/>
          <w:b/>
          <w:bCs/>
          <w:spacing w:val="-1"/>
          <w:sz w:val="36"/>
          <w:szCs w:val="36"/>
        </w:rPr>
        <w:t>苏银理财恒源季开放6号</w:t>
      </w:r>
      <w:r>
        <w:rPr>
          <w:rFonts w:hint="eastAsia" w:ascii="楷体" w:hAnsi="楷体" w:eastAsia="楷体" w:cs="楷体"/>
          <w:b/>
          <w:sz w:val="36"/>
          <w:szCs w:val="36"/>
        </w:rPr>
        <w:t>”理财产品</w:t>
      </w:r>
    </w:p>
    <w:p>
      <w:pPr>
        <w:pStyle w:val="8"/>
        <w:spacing w:before="0" w:beforeAutospacing="0" w:after="0" w:afterAutospacing="0"/>
        <w:jc w:val="center"/>
        <w:rPr>
          <w:rFonts w:hint="eastAsia" w:ascii="楷体" w:hAnsi="楷体" w:eastAsia="楷体" w:cs="楷体"/>
          <w:b/>
          <w:sz w:val="36"/>
          <w:szCs w:val="36"/>
        </w:rPr>
      </w:pPr>
      <w:r>
        <w:rPr>
          <w:rFonts w:hint="eastAsia" w:ascii="楷体" w:hAnsi="楷体" w:eastAsia="楷体" w:cs="楷体"/>
          <w:b/>
          <w:bCs/>
          <w:spacing w:val="4"/>
          <w:sz w:val="36"/>
          <w:szCs w:val="36"/>
        </w:rPr>
        <w:t>2025年二季度</w:t>
      </w:r>
      <w:r>
        <w:rPr>
          <w:rFonts w:hint="eastAsia" w:ascii="楷体" w:hAnsi="楷体" w:eastAsia="楷体" w:cs="楷体"/>
          <w:b/>
          <w:sz w:val="36"/>
          <w:szCs w:val="36"/>
        </w:rPr>
        <w:t>投资管理报告</w:t>
      </w:r>
    </w:p>
    <w:p>
      <w:pPr>
        <w:pStyle w:val="8"/>
        <w:spacing w:before="0" w:beforeAutospacing="0" w:after="0" w:afterAutospacing="0" w:line="360" w:lineRule="auto"/>
        <w:rPr>
          <w:rFonts w:hint="eastAsia" w:ascii="楷体" w:hAnsi="楷体" w:eastAsia="楷体" w:cs="楷体"/>
        </w:rPr>
      </w:pPr>
      <w:r>
        <w:rPr>
          <w:rFonts w:hint="eastAsia" w:ascii="楷体" w:hAnsi="楷体" w:eastAsia="楷体" w:cs="楷体"/>
        </w:rPr>
        <w:t>尊敬的投资者：</w:t>
      </w:r>
    </w:p>
    <w:p>
      <w:pPr>
        <w:pStyle w:val="8"/>
        <w:spacing w:before="0" w:beforeAutospacing="0" w:after="0" w:afterAutospacing="0" w:line="360" w:lineRule="auto"/>
        <w:ind w:firstLine="566" w:firstLineChars="236"/>
        <w:rPr>
          <w:rFonts w:hint="eastAsia" w:ascii="楷体" w:hAnsi="楷体" w:eastAsia="楷体" w:cs="楷体"/>
        </w:rPr>
      </w:pPr>
      <w:r>
        <w:rPr>
          <w:rFonts w:hint="eastAsia" w:ascii="楷体" w:hAnsi="楷体" w:eastAsia="楷体" w:cs="楷体"/>
        </w:rPr>
        <w:t>“</w:t>
      </w:r>
      <w:r>
        <w:rPr>
          <w:rFonts w:hint="eastAsia" w:ascii="楷体" w:hAnsi="楷体" w:eastAsia="楷体" w:cs="楷体"/>
          <w:spacing w:val="-7"/>
        </w:rPr>
        <w:t>苏银理财恒源季开放6号</w:t>
      </w:r>
      <w:r>
        <w:rPr>
          <w:rFonts w:hint="eastAsia" w:ascii="楷体" w:hAnsi="楷体" w:eastAsia="楷体" w:cs="楷体"/>
        </w:rPr>
        <w:t>”理财产品于</w:t>
      </w:r>
      <w:r>
        <w:rPr>
          <w:rFonts w:hint="eastAsia" w:ascii="楷体" w:hAnsi="楷体" w:eastAsia="楷体" w:cs="楷体"/>
          <w:spacing w:val="-53"/>
        </w:rPr>
        <w:t xml:space="preserve"> </w:t>
      </w:r>
      <w:r>
        <w:rPr>
          <w:rFonts w:hint="eastAsia" w:ascii="楷体" w:hAnsi="楷体" w:eastAsia="楷体" w:cs="楷体"/>
          <w:spacing w:val="-7"/>
        </w:rPr>
        <w:t>2022年03月22日</w:t>
      </w:r>
      <w:r>
        <w:rPr>
          <w:rFonts w:hint="eastAsia" w:ascii="楷体" w:hAnsi="楷体" w:eastAsia="楷体" w:cs="楷体"/>
        </w:rPr>
        <w:t>成立，于</w:t>
      </w:r>
      <w:r>
        <w:rPr>
          <w:rFonts w:hint="eastAsia" w:ascii="楷体" w:hAnsi="楷体" w:eastAsia="楷体" w:cs="楷体"/>
          <w:spacing w:val="-7"/>
        </w:rPr>
        <w:t>2022年03月22日</w:t>
      </w:r>
      <w:r>
        <w:rPr>
          <w:rFonts w:hint="eastAsia" w:ascii="楷体" w:hAnsi="楷体" w:eastAsia="楷体" w:cs="楷体"/>
        </w:rPr>
        <w:t>正式投资运作。</w:t>
      </w:r>
    </w:p>
    <w:p>
      <w:pPr>
        <w:pStyle w:val="8"/>
        <w:spacing w:before="0" w:beforeAutospacing="0" w:after="0" w:afterAutospacing="0" w:line="360" w:lineRule="auto"/>
        <w:rPr>
          <w:rFonts w:hint="eastAsia" w:ascii="楷体" w:hAnsi="楷体" w:eastAsia="楷体" w:cs="楷体"/>
        </w:rPr>
      </w:pPr>
    </w:p>
    <w:p>
      <w:pPr>
        <w:pStyle w:val="2"/>
        <w:rPr>
          <w:rFonts w:hint="eastAsia" w:ascii="楷体" w:hAnsi="楷体" w:eastAsia="楷体" w:cs="楷体"/>
        </w:rPr>
      </w:pPr>
      <w:r>
        <w:rPr>
          <w:rFonts w:hint="eastAsia" w:ascii="楷体" w:hAnsi="楷体" w:eastAsia="楷体" w:cs="楷体"/>
        </w:rPr>
        <w:t>一</w:t>
      </w:r>
      <w:bookmarkStart w:id="0" w:name="_Toc535504139"/>
      <w:r>
        <w:rPr>
          <w:rFonts w:hint="eastAsia" w:ascii="楷体" w:hAnsi="楷体" w:eastAsia="楷体" w:cs="楷体"/>
        </w:rPr>
        <w:t>、产品基本情况</w:t>
      </w:r>
      <w:bookmarkEnd w:id="0"/>
    </w:p>
    <w:tbl>
      <w:tblPr>
        <w:tblStyle w:val="9"/>
        <w:tblW w:w="862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774"/>
        <w:gridCol w:w="384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产品名称</w:t>
            </w:r>
          </w:p>
        </w:tc>
        <w:tc>
          <w:tcPr>
            <w:tcW w:w="3847" w:type="dxa"/>
          </w:tcPr>
          <w:p>
            <w:pPr>
              <w:pStyle w:val="25"/>
              <w:spacing w:before="56" w:line="202" w:lineRule="auto"/>
              <w:jc w:val="center"/>
              <w:rPr>
                <w:rFonts w:hint="eastAsia" w:ascii="楷体" w:hAnsi="楷体" w:eastAsia="楷体" w:cs="楷体"/>
                <w:sz w:val="24"/>
                <w:szCs w:val="24"/>
                <w:highlight w:val="yellow"/>
              </w:rPr>
            </w:pPr>
            <w:r>
              <w:rPr>
                <w:rFonts w:hint="eastAsia" w:ascii="楷体" w:hAnsi="楷体" w:eastAsia="楷体" w:cs="楷体"/>
                <w:spacing w:val="-6"/>
                <w:sz w:val="24"/>
                <w:szCs w:val="24"/>
              </w:rPr>
              <w:t>苏银理财恒源季开放6号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全国银行业理财信息登记系统登记编码</w:t>
            </w:r>
          </w:p>
        </w:tc>
        <w:tc>
          <w:tcPr>
            <w:tcW w:w="3847" w:type="dxa"/>
          </w:tcPr>
          <w:p>
            <w:pPr>
              <w:pStyle w:val="25"/>
              <w:spacing w:before="85" w:line="176" w:lineRule="auto"/>
              <w:jc w:val="center"/>
              <w:rPr>
                <w:rFonts w:hint="eastAsia" w:ascii="楷体" w:hAnsi="楷体" w:eastAsia="楷体" w:cs="楷体"/>
                <w:sz w:val="24"/>
                <w:szCs w:val="24"/>
                <w:highlight w:val="yellow"/>
              </w:rPr>
            </w:pPr>
            <w:r>
              <w:rPr>
                <w:rFonts w:hint="eastAsia" w:ascii="楷体" w:hAnsi="楷体" w:eastAsia="楷体" w:cs="楷体"/>
                <w:spacing w:val="-1"/>
                <w:sz w:val="24"/>
                <w:szCs w:val="24"/>
              </w:rPr>
              <w:t>Z7003122000036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产品运作方式</w:t>
            </w:r>
          </w:p>
        </w:tc>
        <w:tc>
          <w:tcPr>
            <w:tcW w:w="3847" w:type="dxa"/>
          </w:tcPr>
          <w:p>
            <w:pPr>
              <w:pStyle w:val="25"/>
              <w:spacing w:before="52" w:line="201" w:lineRule="auto"/>
              <w:jc w:val="center"/>
              <w:rPr>
                <w:rFonts w:hint="eastAsia" w:ascii="楷体" w:hAnsi="楷体" w:eastAsia="楷体" w:cs="楷体"/>
                <w:sz w:val="24"/>
                <w:szCs w:val="24"/>
                <w:highlight w:val="yellow"/>
              </w:rPr>
            </w:pPr>
            <w:r>
              <w:rPr>
                <w:rFonts w:hint="eastAsia" w:ascii="楷体" w:hAnsi="楷体" w:eastAsia="楷体" w:cs="楷体"/>
                <w:spacing w:val="-2"/>
                <w:sz w:val="24"/>
                <w:szCs w:val="24"/>
              </w:rPr>
              <w:t>开放式净值型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报告期末产品存续份额（份）</w:t>
            </w:r>
          </w:p>
        </w:tc>
        <w:tc>
          <w:tcPr>
            <w:tcW w:w="3847" w:type="dxa"/>
          </w:tcPr>
          <w:p>
            <w:pPr>
              <w:pStyle w:val="25"/>
              <w:spacing w:before="87" w:line="174" w:lineRule="auto"/>
              <w:jc w:val="center"/>
              <w:rPr>
                <w:rFonts w:hint="eastAsia" w:ascii="楷体" w:hAnsi="楷体" w:eastAsia="楷体" w:cs="楷体"/>
                <w:sz w:val="24"/>
                <w:szCs w:val="24"/>
                <w:highlight w:val="yellow"/>
              </w:rPr>
            </w:pPr>
            <w:r>
              <w:rPr>
                <w:rFonts w:hint="eastAsia" w:ascii="楷体" w:hAnsi="楷体" w:eastAsia="楷体" w:cs="楷体"/>
                <w:spacing w:val="-1"/>
                <w:sz w:val="24"/>
                <w:szCs w:val="24"/>
              </w:rPr>
              <w:t>1,170,687,912.43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产品资产净值（元）</w:t>
            </w:r>
          </w:p>
        </w:tc>
        <w:tc>
          <w:tcPr>
            <w:tcW w:w="3847" w:type="dxa"/>
          </w:tcPr>
          <w:p>
            <w:pPr>
              <w:pStyle w:val="25"/>
              <w:spacing w:before="78" w:line="182" w:lineRule="auto"/>
              <w:jc w:val="center"/>
              <w:rPr>
                <w:rFonts w:hint="eastAsia" w:ascii="楷体" w:hAnsi="楷体" w:eastAsia="楷体" w:cs="楷体"/>
                <w:sz w:val="24"/>
                <w:szCs w:val="24"/>
                <w:highlight w:val="yellow"/>
              </w:rPr>
            </w:pPr>
            <w:r>
              <w:rPr>
                <w:rFonts w:hint="eastAsia" w:ascii="楷体" w:hAnsi="楷体" w:eastAsia="楷体" w:cs="楷体"/>
                <w:spacing w:val="-1"/>
                <w:sz w:val="24"/>
                <w:szCs w:val="24"/>
              </w:rPr>
              <w:t>1,298,239,604.24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风险收益特征</w:t>
            </w:r>
          </w:p>
        </w:tc>
        <w:tc>
          <w:tcPr>
            <w:tcW w:w="3847" w:type="dxa"/>
          </w:tcPr>
          <w:p>
            <w:pPr>
              <w:pStyle w:val="25"/>
              <w:spacing w:before="54" w:line="200" w:lineRule="auto"/>
              <w:jc w:val="center"/>
              <w:rPr>
                <w:rFonts w:hint="eastAsia" w:ascii="楷体" w:hAnsi="楷体" w:eastAsia="楷体" w:cs="楷体"/>
                <w:sz w:val="24"/>
                <w:szCs w:val="24"/>
                <w:highlight w:val="yellow"/>
              </w:rPr>
            </w:pPr>
            <w:r>
              <w:rPr>
                <w:rFonts w:hint="eastAsia" w:ascii="楷体" w:hAnsi="楷体" w:eastAsia="楷体" w:cs="楷体"/>
                <w:spacing w:val="-8"/>
                <w:sz w:val="24"/>
                <w:szCs w:val="24"/>
              </w:rPr>
              <w:t>中低风险型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收益类型</w:t>
            </w:r>
          </w:p>
        </w:tc>
        <w:tc>
          <w:tcPr>
            <w:tcW w:w="3847" w:type="dxa"/>
          </w:tcPr>
          <w:p>
            <w:pPr>
              <w:pStyle w:val="25"/>
              <w:spacing w:before="56" w:line="199" w:lineRule="auto"/>
              <w:jc w:val="center"/>
              <w:rPr>
                <w:rFonts w:hint="eastAsia" w:ascii="楷体" w:hAnsi="楷体" w:eastAsia="楷体" w:cs="楷体"/>
                <w:sz w:val="24"/>
                <w:szCs w:val="24"/>
                <w:highlight w:val="yellow"/>
              </w:rPr>
            </w:pPr>
            <w:r>
              <w:rPr>
                <w:rFonts w:hint="eastAsia" w:ascii="楷体" w:hAnsi="楷体" w:eastAsia="楷体" w:cs="楷体"/>
                <w:spacing w:val="-9"/>
                <w:sz w:val="24"/>
                <w:szCs w:val="24"/>
              </w:rPr>
              <w:t>固定收益类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管理人</w:t>
            </w:r>
          </w:p>
        </w:tc>
        <w:tc>
          <w:tcPr>
            <w:tcW w:w="3847" w:type="dxa"/>
          </w:tcPr>
          <w:p>
            <w:pPr>
              <w:pStyle w:val="25"/>
              <w:spacing w:before="55" w:line="200" w:lineRule="auto"/>
              <w:jc w:val="center"/>
              <w:rPr>
                <w:rFonts w:hint="eastAsia" w:ascii="楷体" w:hAnsi="楷体" w:eastAsia="楷体" w:cs="楷体"/>
                <w:sz w:val="24"/>
                <w:szCs w:val="24"/>
                <w:highlight w:val="yellow"/>
              </w:rPr>
            </w:pPr>
            <w:r>
              <w:rPr>
                <w:rFonts w:hint="eastAsia" w:ascii="楷体" w:hAnsi="楷体" w:eastAsia="楷体" w:cs="楷体"/>
                <w:spacing w:val="-3"/>
                <w:sz w:val="24"/>
                <w:szCs w:val="24"/>
              </w:rPr>
              <w:t>苏银理财有限责任公司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托管人</w:t>
            </w:r>
          </w:p>
        </w:tc>
        <w:tc>
          <w:tcPr>
            <w:tcW w:w="3847" w:type="dxa"/>
          </w:tcPr>
          <w:p>
            <w:pPr>
              <w:pStyle w:val="25"/>
              <w:spacing w:before="56" w:line="199" w:lineRule="auto"/>
              <w:jc w:val="center"/>
              <w:rPr>
                <w:rFonts w:hint="eastAsia" w:ascii="楷体" w:hAnsi="楷体" w:eastAsia="楷体" w:cs="楷体"/>
                <w:sz w:val="24"/>
                <w:szCs w:val="24"/>
                <w:highlight w:val="yellow"/>
              </w:rPr>
            </w:pPr>
            <w:r>
              <w:rPr>
                <w:rFonts w:hint="eastAsia" w:ascii="楷体" w:hAnsi="楷体" w:eastAsia="楷体" w:cs="楷体"/>
                <w:spacing w:val="-3"/>
                <w:sz w:val="24"/>
                <w:szCs w:val="24"/>
              </w:rPr>
              <w:t>江苏银行股份有限公司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托管账户</w:t>
            </w:r>
          </w:p>
        </w:tc>
        <w:tc>
          <w:tcPr>
            <w:tcW w:w="3847" w:type="dxa"/>
          </w:tcPr>
          <w:p>
            <w:pPr>
              <w:pStyle w:val="25"/>
              <w:spacing w:before="90" w:line="173" w:lineRule="auto"/>
              <w:jc w:val="center"/>
              <w:rPr>
                <w:rFonts w:hint="eastAsia" w:ascii="楷体" w:hAnsi="楷体" w:eastAsia="楷体" w:cs="楷体"/>
                <w:sz w:val="24"/>
                <w:szCs w:val="24"/>
                <w:highlight w:val="yellow"/>
              </w:rPr>
            </w:pPr>
            <w:r>
              <w:rPr>
                <w:rFonts w:hint="eastAsia" w:ascii="楷体" w:hAnsi="楷体" w:eastAsia="楷体" w:cs="楷体"/>
                <w:spacing w:val="-1"/>
                <w:sz w:val="24"/>
                <w:szCs w:val="24"/>
              </w:rPr>
              <w:t>31000188000479627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托管账户开户行</w:t>
            </w:r>
          </w:p>
        </w:tc>
        <w:tc>
          <w:tcPr>
            <w:tcW w:w="3847" w:type="dxa"/>
          </w:tcPr>
          <w:p>
            <w:pPr>
              <w:pStyle w:val="25"/>
              <w:spacing w:before="56" w:line="199" w:lineRule="auto"/>
              <w:jc w:val="center"/>
              <w:rPr>
                <w:rFonts w:hint="eastAsia" w:ascii="楷体" w:hAnsi="楷体" w:eastAsia="楷体" w:cs="楷体"/>
                <w:sz w:val="24"/>
                <w:szCs w:val="24"/>
              </w:rPr>
            </w:pPr>
            <w:r>
              <w:rPr>
                <w:rFonts w:hint="eastAsia" w:ascii="楷体" w:hAnsi="楷体" w:eastAsia="楷体" w:cs="楷体"/>
                <w:spacing w:val="-2"/>
                <w:sz w:val="24"/>
                <w:szCs w:val="24"/>
              </w:rPr>
              <w:t>江苏银行股份有限公司营业部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产品资产总值（元）</w:t>
            </w:r>
          </w:p>
        </w:tc>
        <w:tc>
          <w:tcPr>
            <w:tcW w:w="3847" w:type="dxa"/>
          </w:tcPr>
          <w:p>
            <w:pPr>
              <w:pStyle w:val="25"/>
              <w:spacing w:before="81" w:line="180" w:lineRule="auto"/>
              <w:jc w:val="center"/>
              <w:rPr>
                <w:rFonts w:hint="eastAsia" w:ascii="楷体" w:hAnsi="楷体" w:eastAsia="楷体" w:cs="楷体"/>
                <w:sz w:val="24"/>
                <w:szCs w:val="24"/>
              </w:rPr>
            </w:pPr>
            <w:r>
              <w:rPr>
                <w:rFonts w:hint="eastAsia" w:ascii="楷体" w:hAnsi="楷体" w:eastAsia="楷体" w:cs="楷体"/>
                <w:spacing w:val="-1"/>
                <w:sz w:val="24"/>
                <w:szCs w:val="24"/>
              </w:rPr>
              <w:t>1,298,847,081.71</w:t>
            </w:r>
            <w:r>
              <w:rPr>
                <w:rFonts w:hint="eastAsia" w:ascii="楷体" w:hAnsi="楷体" w:eastAsia="楷体" w:cs="楷体"/>
                <w:spacing w:val="-29"/>
                <w:sz w:val="24"/>
                <w:szCs w:val="24"/>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杠杆水平</w:t>
            </w:r>
          </w:p>
        </w:tc>
        <w:tc>
          <w:tcPr>
            <w:tcW w:w="3847" w:type="dxa"/>
          </w:tcPr>
          <w:p>
            <w:pPr>
              <w:pStyle w:val="25"/>
              <w:spacing w:before="56" w:line="202" w:lineRule="auto"/>
              <w:jc w:val="center"/>
              <w:rPr>
                <w:rFonts w:hint="eastAsia" w:ascii="楷体" w:hAnsi="楷体" w:eastAsia="楷体" w:cs="楷体"/>
                <w:sz w:val="24"/>
                <w:szCs w:val="24"/>
              </w:rPr>
            </w:pPr>
            <w:r>
              <w:rPr>
                <w:rFonts w:hint="eastAsia" w:ascii="楷体" w:hAnsi="楷体" w:eastAsia="楷体" w:cs="楷体"/>
                <w:spacing w:val="-4"/>
                <w:sz w:val="24"/>
                <w:szCs w:val="24"/>
              </w:rPr>
              <w:t>100.05%</w:t>
            </w:r>
          </w:p>
        </w:tc>
      </w:tr>
    </w:tbl>
    <w:p>
      <w:pPr>
        <w:pStyle w:val="14"/>
        <w:rPr>
          <w:rFonts w:hint="eastAsia" w:ascii="楷体" w:hAnsi="楷体" w:eastAsia="楷体" w:cs="楷体"/>
        </w:rPr>
      </w:pPr>
    </w:p>
    <w:p>
      <w:pPr>
        <w:pStyle w:val="2"/>
        <w:rPr>
          <w:rFonts w:hint="eastAsia" w:ascii="楷体" w:hAnsi="楷体" w:eastAsia="楷体" w:cs="楷体"/>
        </w:rPr>
      </w:pPr>
      <w:r>
        <w:rPr>
          <w:rFonts w:hint="eastAsia" w:ascii="楷体" w:hAnsi="楷体" w:eastAsia="楷体" w:cs="楷体"/>
        </w:rPr>
        <w:t>二、产品净值与业绩比较基准</w:t>
      </w:r>
    </w:p>
    <w:tbl>
      <w:tblPr>
        <w:tblStyle w:val="10"/>
        <w:tblW w:w="862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10"/>
        <w:gridCol w:w="2100"/>
        <w:gridCol w:w="1470"/>
        <w:gridCol w:w="1665"/>
        <w:gridCol w:w="18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10" w:type="dxa"/>
          </w:tcPr>
          <w:p>
            <w:pPr>
              <w:spacing w:line="320" w:lineRule="exact"/>
              <w:jc w:val="center"/>
              <w:rPr>
                <w:rFonts w:hint="eastAsia" w:ascii="楷体" w:hAnsi="楷体" w:eastAsia="楷体" w:cs="楷体"/>
              </w:rPr>
            </w:pPr>
            <w:r>
              <w:rPr>
                <w:rFonts w:hint="eastAsia" w:ascii="楷体" w:hAnsi="楷体" w:eastAsia="楷体" w:cs="楷体"/>
                <w:sz w:val="24"/>
                <w:szCs w:val="24"/>
              </w:rPr>
              <w:t>报告日期</w:t>
            </w:r>
          </w:p>
        </w:tc>
        <w:tc>
          <w:tcPr>
            <w:tcW w:w="2100" w:type="dxa"/>
          </w:tcPr>
          <w:p>
            <w:pPr>
              <w:spacing w:line="320" w:lineRule="exact"/>
              <w:jc w:val="center"/>
              <w:rPr>
                <w:rFonts w:hint="eastAsia" w:ascii="楷体" w:hAnsi="楷体" w:eastAsia="楷体" w:cs="楷体"/>
              </w:rPr>
            </w:pPr>
            <w:r>
              <w:rPr>
                <w:rFonts w:hint="eastAsia" w:ascii="楷体" w:hAnsi="楷体" w:eastAsia="楷体" w:cs="楷体"/>
                <w:sz w:val="24"/>
                <w:szCs w:val="24"/>
              </w:rPr>
              <w:t>销售</w:t>
            </w:r>
            <w:r>
              <w:rPr>
                <w:rFonts w:hint="eastAsia" w:ascii="楷体" w:hAnsi="楷体" w:eastAsia="楷体" w:cs="楷体"/>
                <w:sz w:val="24"/>
                <w:szCs w:val="24"/>
                <w:lang w:eastAsia="zh-CN"/>
              </w:rPr>
              <w:t>名</w:t>
            </w:r>
            <w:r>
              <w:rPr>
                <w:rFonts w:hint="eastAsia" w:ascii="楷体" w:hAnsi="楷体" w:eastAsia="楷体" w:cs="楷体"/>
                <w:sz w:val="24"/>
                <w:szCs w:val="24"/>
              </w:rPr>
              <w:t>称</w:t>
            </w:r>
          </w:p>
        </w:tc>
        <w:tc>
          <w:tcPr>
            <w:tcW w:w="1470" w:type="dxa"/>
          </w:tcPr>
          <w:p>
            <w:pPr>
              <w:jc w:val="center"/>
              <w:rPr>
                <w:rFonts w:hint="eastAsia" w:ascii="楷体" w:hAnsi="楷体" w:eastAsia="楷体" w:cs="楷体"/>
              </w:rPr>
            </w:pPr>
            <w:r>
              <w:rPr>
                <w:rFonts w:hint="eastAsia" w:ascii="楷体" w:hAnsi="楷体" w:eastAsia="楷体" w:cs="楷体"/>
                <w:sz w:val="24"/>
                <w:szCs w:val="24"/>
              </w:rPr>
              <w:t>单位净值</w:t>
            </w:r>
          </w:p>
        </w:tc>
        <w:tc>
          <w:tcPr>
            <w:tcW w:w="1665" w:type="dxa"/>
          </w:tcPr>
          <w:p>
            <w:pPr>
              <w:jc w:val="center"/>
              <w:rPr>
                <w:rFonts w:hint="eastAsia" w:ascii="楷体" w:hAnsi="楷体" w:eastAsia="楷体" w:cs="楷体"/>
                <w:sz w:val="24"/>
                <w:szCs w:val="24"/>
              </w:rPr>
            </w:pPr>
            <w:r>
              <w:rPr>
                <w:rFonts w:hint="eastAsia" w:ascii="楷体" w:hAnsi="楷体" w:eastAsia="楷体" w:cs="楷体"/>
                <w:sz w:val="24"/>
                <w:szCs w:val="24"/>
              </w:rPr>
              <w:t>累计单位净值</w:t>
            </w:r>
          </w:p>
        </w:tc>
        <w:tc>
          <w:tcPr>
            <w:tcW w:w="1876" w:type="dxa"/>
          </w:tcPr>
          <w:p>
            <w:pPr>
              <w:jc w:val="center"/>
              <w:rPr>
                <w:rFonts w:hint="eastAsia" w:ascii="楷体" w:hAnsi="楷体" w:eastAsia="楷体" w:cs="楷体"/>
              </w:rPr>
            </w:pPr>
            <w:r>
              <w:rPr>
                <w:rFonts w:hint="eastAsia" w:ascii="楷体" w:hAnsi="楷体" w:eastAsia="楷体" w:cs="楷体"/>
                <w:sz w:val="24"/>
                <w:szCs w:val="24"/>
              </w:rPr>
              <w:t>业绩比较基准（年化）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10" w:type="dxa"/>
          </w:tcPr>
          <w:p>
            <w:pPr>
              <w:jc w:val="center"/>
              <w:rPr>
                <w:rFonts w:hint="eastAsia" w:ascii="楷体" w:hAnsi="楷体" w:eastAsia="楷体" w:cs="楷体"/>
                <w:sz w:val="24"/>
                <w:szCs w:val="24"/>
              </w:rPr>
            </w:pPr>
            <w:r>
              <w:rPr>
                <w:rFonts w:hint="eastAsia" w:ascii="楷体" w:hAnsi="楷体" w:eastAsia="楷体" w:cs="楷体"/>
                <w:sz w:val="24"/>
                <w:szCs w:val="24"/>
              </w:rPr>
              <w:t>2025-06-30</w:t>
            </w:r>
          </w:p>
        </w:tc>
        <w:tc>
          <w:tcPr>
            <w:tcW w:w="2100" w:type="dxa"/>
          </w:tcPr>
          <w:p>
            <w:pPr>
              <w:jc w:val="center"/>
              <w:rPr>
                <w:rFonts w:hint="eastAsia" w:ascii="楷体" w:hAnsi="楷体" w:eastAsia="楷体" w:cs="楷体"/>
                <w:sz w:val="24"/>
                <w:szCs w:val="24"/>
              </w:rPr>
            </w:pPr>
            <w:r>
              <w:rPr>
                <w:rFonts w:hint="eastAsia" w:ascii="楷体" w:hAnsi="楷体" w:eastAsia="楷体" w:cs="楷体"/>
                <w:sz w:val="24"/>
                <w:szCs w:val="24"/>
              </w:rPr>
              <w:t>苏银理财恒源季开放6号S</w:t>
            </w:r>
          </w:p>
        </w:tc>
        <w:tc>
          <w:tcPr>
            <w:tcW w:w="1470" w:type="dxa"/>
          </w:tcPr>
          <w:p>
            <w:pPr>
              <w:jc w:val="center"/>
              <w:rPr>
                <w:rFonts w:hint="eastAsia" w:ascii="楷体" w:hAnsi="楷体" w:eastAsia="楷体" w:cs="楷体"/>
                <w:sz w:val="24"/>
                <w:szCs w:val="24"/>
              </w:rPr>
            </w:pPr>
            <w:r>
              <w:rPr>
                <w:rFonts w:hint="eastAsia" w:ascii="楷体" w:hAnsi="楷体" w:eastAsia="楷体" w:cs="楷体"/>
                <w:sz w:val="24"/>
                <w:szCs w:val="24"/>
              </w:rPr>
              <w:t>1.110531</w:t>
            </w:r>
          </w:p>
        </w:tc>
        <w:tc>
          <w:tcPr>
            <w:tcW w:w="1665" w:type="dxa"/>
          </w:tcPr>
          <w:p>
            <w:pPr>
              <w:jc w:val="center"/>
              <w:rPr>
                <w:rFonts w:hint="eastAsia" w:ascii="楷体" w:hAnsi="楷体" w:eastAsia="楷体" w:cs="楷体"/>
                <w:sz w:val="24"/>
                <w:szCs w:val="24"/>
              </w:rPr>
            </w:pPr>
            <w:r>
              <w:rPr>
                <w:rFonts w:hint="eastAsia" w:ascii="楷体" w:hAnsi="楷体" w:eastAsia="楷体" w:cs="楷体"/>
                <w:sz w:val="24"/>
                <w:szCs w:val="24"/>
              </w:rPr>
              <w:t>1.110531</w:t>
            </w:r>
          </w:p>
        </w:tc>
        <w:tc>
          <w:tcPr>
            <w:tcW w:w="1876" w:type="dxa"/>
          </w:tcPr>
          <w:p>
            <w:pPr>
              <w:jc w:val="center"/>
              <w:rPr>
                <w:rFonts w:hint="eastAsia" w:ascii="楷体" w:hAnsi="楷体" w:eastAsia="楷体" w:cs="楷体"/>
                <w:sz w:val="24"/>
                <w:szCs w:val="24"/>
              </w:rPr>
            </w:pPr>
            <w:r>
              <w:rPr>
                <w:rFonts w:hint="eastAsia" w:ascii="楷体" w:hAnsi="楷体" w:eastAsia="楷体" w:cs="楷体"/>
                <w:sz w:val="24"/>
                <w:szCs w:val="24"/>
              </w:rPr>
              <w:t>2.30%-3.10%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510" w:type="dxa"/>
          </w:tcPr>
          <w:p>
            <w:pPr>
              <w:pageBreakBefore w:val="0"/>
              <w:jc w:val="center"/>
              <w:textAlignment w:val="auto"/>
            </w:pPr>
            <w:r>
              <w:rPr>
                <w:rFonts w:ascii="楷体" w:hAnsi="楷体" w:eastAsia="楷体" w:cs="楷体"/>
                <w:b w:val="0"/>
                <w:i w:val="0"/>
                <w:strike w:val="0"/>
                <w:color w:val="auto"/>
                <w:position w:val="-1"/>
                <w:sz w:val="24"/>
                <w:u w:val="none"/>
              </w:rPr>
              <w:t>2025-06-30</w:t>
            </w:r>
          </w:p>
        </w:tc>
        <w:tc>
          <w:tcPr>
            <w:tcW w:w="2100" w:type="dxa"/>
          </w:tcPr>
          <w:p>
            <w:pPr>
              <w:pageBreakBefore w:val="0"/>
              <w:jc w:val="center"/>
              <w:textAlignment w:val="auto"/>
            </w:pPr>
            <w:r>
              <w:rPr>
                <w:rFonts w:ascii="楷体" w:hAnsi="楷体" w:eastAsia="楷体" w:cs="楷体"/>
                <w:b w:val="0"/>
                <w:i w:val="0"/>
                <w:strike w:val="0"/>
                <w:color w:val="auto"/>
                <w:position w:val="-1"/>
                <w:sz w:val="24"/>
                <w:u w:val="none"/>
              </w:rPr>
              <w:t>苏银理财恒源季开放6号F</w:t>
            </w:r>
          </w:p>
        </w:tc>
        <w:tc>
          <w:tcPr>
            <w:tcW w:w="1470" w:type="dxa"/>
          </w:tcPr>
          <w:p>
            <w:pPr>
              <w:pageBreakBefore w:val="0"/>
              <w:jc w:val="center"/>
              <w:textAlignment w:val="auto"/>
            </w:pPr>
            <w:r>
              <w:rPr>
                <w:rFonts w:ascii="楷体" w:hAnsi="楷体" w:eastAsia="楷体" w:cs="楷体"/>
                <w:b w:val="0"/>
                <w:i w:val="0"/>
                <w:strike w:val="0"/>
                <w:color w:val="auto"/>
                <w:position w:val="-1"/>
                <w:sz w:val="24"/>
                <w:u w:val="none"/>
              </w:rPr>
              <w:t>1.107981</w:t>
            </w:r>
          </w:p>
        </w:tc>
        <w:tc>
          <w:tcPr>
            <w:tcW w:w="1665" w:type="dxa"/>
          </w:tcPr>
          <w:p>
            <w:pPr>
              <w:pageBreakBefore w:val="0"/>
              <w:jc w:val="center"/>
              <w:textAlignment w:val="auto"/>
            </w:pPr>
            <w:r>
              <w:rPr>
                <w:rFonts w:ascii="楷体" w:hAnsi="楷体" w:eastAsia="楷体" w:cs="楷体"/>
                <w:b w:val="0"/>
                <w:i w:val="0"/>
                <w:strike w:val="0"/>
                <w:color w:val="auto"/>
                <w:position w:val="-1"/>
                <w:sz w:val="24"/>
                <w:u w:val="none"/>
              </w:rPr>
              <w:t>1.107981</w:t>
            </w:r>
          </w:p>
        </w:tc>
        <w:tc>
          <w:tcPr>
            <w:tcW w:w="1876" w:type="dxa"/>
          </w:tcPr>
          <w:p>
            <w:pPr>
              <w:pageBreakBefore w:val="0"/>
              <w:jc w:val="center"/>
              <w:textAlignment w:val="auto"/>
            </w:pPr>
            <w:r>
              <w:rPr>
                <w:rFonts w:ascii="楷体" w:hAnsi="楷体" w:eastAsia="楷体" w:cs="楷体"/>
                <w:b w:val="0"/>
                <w:i w:val="0"/>
                <w:strike w:val="0"/>
                <w:color w:val="auto"/>
                <w:position w:val="-1"/>
                <w:sz w:val="24"/>
                <w:u w:val="none"/>
              </w:rPr>
              <w:t>2.20%-3.00%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510" w:type="dxa"/>
          </w:tcPr>
          <w:p>
            <w:pPr>
              <w:pageBreakBefore w:val="0"/>
              <w:jc w:val="center"/>
              <w:textAlignment w:val="auto"/>
            </w:pPr>
            <w:r>
              <w:rPr>
                <w:rFonts w:ascii="楷体" w:hAnsi="楷体" w:eastAsia="楷体" w:cs="楷体"/>
                <w:b w:val="0"/>
                <w:i w:val="0"/>
                <w:strike w:val="0"/>
                <w:color w:val="auto"/>
                <w:position w:val="-1"/>
                <w:sz w:val="24"/>
                <w:u w:val="none"/>
              </w:rPr>
              <w:t>2025-06-30</w:t>
            </w:r>
          </w:p>
        </w:tc>
        <w:tc>
          <w:tcPr>
            <w:tcW w:w="2100" w:type="dxa"/>
          </w:tcPr>
          <w:p>
            <w:pPr>
              <w:pageBreakBefore w:val="0"/>
              <w:jc w:val="center"/>
              <w:textAlignment w:val="auto"/>
            </w:pPr>
            <w:r>
              <w:rPr>
                <w:rFonts w:ascii="楷体" w:hAnsi="楷体" w:eastAsia="楷体" w:cs="楷体"/>
                <w:b w:val="0"/>
                <w:i w:val="0"/>
                <w:strike w:val="0"/>
                <w:color w:val="auto"/>
                <w:position w:val="-1"/>
                <w:sz w:val="24"/>
                <w:u w:val="none"/>
              </w:rPr>
              <w:t>苏银理财恒源季开放6号E</w:t>
            </w:r>
          </w:p>
        </w:tc>
        <w:tc>
          <w:tcPr>
            <w:tcW w:w="1470" w:type="dxa"/>
          </w:tcPr>
          <w:p>
            <w:pPr>
              <w:pageBreakBefore w:val="0"/>
              <w:jc w:val="center"/>
              <w:textAlignment w:val="auto"/>
            </w:pPr>
            <w:r>
              <w:rPr>
                <w:rFonts w:ascii="楷体" w:hAnsi="楷体" w:eastAsia="楷体" w:cs="楷体"/>
                <w:b w:val="0"/>
                <w:i w:val="0"/>
                <w:strike w:val="0"/>
                <w:color w:val="auto"/>
                <w:position w:val="-1"/>
                <w:sz w:val="24"/>
                <w:u w:val="none"/>
              </w:rPr>
              <w:t>1.113675</w:t>
            </w:r>
          </w:p>
        </w:tc>
        <w:tc>
          <w:tcPr>
            <w:tcW w:w="1665" w:type="dxa"/>
          </w:tcPr>
          <w:p>
            <w:pPr>
              <w:pageBreakBefore w:val="0"/>
              <w:jc w:val="center"/>
              <w:textAlignment w:val="auto"/>
            </w:pPr>
            <w:r>
              <w:rPr>
                <w:rFonts w:ascii="楷体" w:hAnsi="楷体" w:eastAsia="楷体" w:cs="楷体"/>
                <w:b w:val="0"/>
                <w:i w:val="0"/>
                <w:strike w:val="0"/>
                <w:color w:val="auto"/>
                <w:position w:val="-1"/>
                <w:sz w:val="24"/>
                <w:u w:val="none"/>
              </w:rPr>
              <w:t>1.113675</w:t>
            </w:r>
          </w:p>
        </w:tc>
        <w:tc>
          <w:tcPr>
            <w:tcW w:w="1876" w:type="dxa"/>
          </w:tcPr>
          <w:p>
            <w:pPr>
              <w:pageBreakBefore w:val="0"/>
              <w:jc w:val="center"/>
              <w:textAlignment w:val="auto"/>
            </w:pPr>
            <w:r>
              <w:rPr>
                <w:rFonts w:ascii="楷体" w:hAnsi="楷体" w:eastAsia="楷体" w:cs="楷体"/>
                <w:b w:val="0"/>
                <w:i w:val="0"/>
                <w:strike w:val="0"/>
                <w:color w:val="auto"/>
                <w:position w:val="-1"/>
                <w:sz w:val="24"/>
                <w:u w:val="none"/>
              </w:rPr>
              <w:t>2.45%-3.25%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510" w:type="dxa"/>
          </w:tcPr>
          <w:p>
            <w:pPr>
              <w:pageBreakBefore w:val="0"/>
              <w:jc w:val="center"/>
              <w:textAlignment w:val="auto"/>
            </w:pPr>
            <w:r>
              <w:rPr>
                <w:rFonts w:ascii="楷体" w:hAnsi="楷体" w:eastAsia="楷体" w:cs="楷体"/>
                <w:b w:val="0"/>
                <w:i w:val="0"/>
                <w:strike w:val="0"/>
                <w:color w:val="auto"/>
                <w:position w:val="-1"/>
                <w:sz w:val="24"/>
                <w:u w:val="none"/>
              </w:rPr>
              <w:t>2025-06-30</w:t>
            </w:r>
          </w:p>
        </w:tc>
        <w:tc>
          <w:tcPr>
            <w:tcW w:w="2100" w:type="dxa"/>
          </w:tcPr>
          <w:p>
            <w:pPr>
              <w:pageBreakBefore w:val="0"/>
              <w:jc w:val="center"/>
              <w:textAlignment w:val="auto"/>
            </w:pPr>
            <w:r>
              <w:rPr>
                <w:rFonts w:ascii="楷体" w:hAnsi="楷体" w:eastAsia="楷体" w:cs="楷体"/>
                <w:b w:val="0"/>
                <w:i w:val="0"/>
                <w:strike w:val="0"/>
                <w:color w:val="auto"/>
                <w:position w:val="-1"/>
                <w:sz w:val="24"/>
                <w:u w:val="none"/>
              </w:rPr>
              <w:t>苏银理财恒源季开放6号W</w:t>
            </w:r>
          </w:p>
        </w:tc>
        <w:tc>
          <w:tcPr>
            <w:tcW w:w="1470" w:type="dxa"/>
          </w:tcPr>
          <w:p>
            <w:pPr>
              <w:pageBreakBefore w:val="0"/>
              <w:jc w:val="center"/>
              <w:textAlignment w:val="auto"/>
            </w:pPr>
            <w:r>
              <w:rPr>
                <w:rFonts w:ascii="楷体" w:hAnsi="楷体" w:eastAsia="楷体" w:cs="楷体"/>
                <w:b w:val="0"/>
                <w:i w:val="0"/>
                <w:strike w:val="0"/>
                <w:color w:val="auto"/>
                <w:position w:val="-1"/>
                <w:sz w:val="24"/>
                <w:u w:val="none"/>
              </w:rPr>
              <w:t>1.107722</w:t>
            </w:r>
          </w:p>
        </w:tc>
        <w:tc>
          <w:tcPr>
            <w:tcW w:w="1665" w:type="dxa"/>
          </w:tcPr>
          <w:p>
            <w:pPr>
              <w:pageBreakBefore w:val="0"/>
              <w:jc w:val="center"/>
              <w:textAlignment w:val="auto"/>
            </w:pPr>
            <w:r>
              <w:rPr>
                <w:rFonts w:ascii="楷体" w:hAnsi="楷体" w:eastAsia="楷体" w:cs="楷体"/>
                <w:b w:val="0"/>
                <w:i w:val="0"/>
                <w:strike w:val="0"/>
                <w:color w:val="auto"/>
                <w:position w:val="-1"/>
                <w:sz w:val="24"/>
                <w:u w:val="none"/>
              </w:rPr>
              <w:t>1.107722</w:t>
            </w:r>
          </w:p>
        </w:tc>
        <w:tc>
          <w:tcPr>
            <w:tcW w:w="1876" w:type="dxa"/>
          </w:tcPr>
          <w:p>
            <w:pPr>
              <w:pageBreakBefore w:val="0"/>
              <w:jc w:val="center"/>
              <w:textAlignment w:val="auto"/>
            </w:pPr>
            <w:r>
              <w:rPr>
                <w:rFonts w:ascii="楷体" w:hAnsi="楷体" w:eastAsia="楷体" w:cs="楷体"/>
                <w:b w:val="0"/>
                <w:i w:val="0"/>
                <w:strike w:val="0"/>
                <w:color w:val="auto"/>
                <w:position w:val="-1"/>
                <w:sz w:val="24"/>
                <w:u w:val="none"/>
              </w:rPr>
              <w:t>2.20%-3.00%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510" w:type="dxa"/>
          </w:tcPr>
          <w:p>
            <w:pPr>
              <w:pageBreakBefore w:val="0"/>
              <w:jc w:val="center"/>
              <w:textAlignment w:val="auto"/>
            </w:pPr>
            <w:r>
              <w:rPr>
                <w:rFonts w:ascii="楷体" w:hAnsi="楷体" w:eastAsia="楷体" w:cs="楷体"/>
                <w:b w:val="0"/>
                <w:i w:val="0"/>
                <w:strike w:val="0"/>
                <w:color w:val="auto"/>
                <w:position w:val="-1"/>
                <w:sz w:val="24"/>
                <w:u w:val="none"/>
              </w:rPr>
              <w:t>2025-06-30</w:t>
            </w:r>
          </w:p>
        </w:tc>
        <w:tc>
          <w:tcPr>
            <w:tcW w:w="2100" w:type="dxa"/>
          </w:tcPr>
          <w:p>
            <w:pPr>
              <w:pageBreakBefore w:val="0"/>
              <w:jc w:val="center"/>
              <w:textAlignment w:val="auto"/>
            </w:pPr>
            <w:r>
              <w:rPr>
                <w:rFonts w:ascii="楷体" w:hAnsi="楷体" w:eastAsia="楷体" w:cs="楷体"/>
                <w:b w:val="0"/>
                <w:i w:val="0"/>
                <w:strike w:val="0"/>
                <w:color w:val="auto"/>
                <w:position w:val="-1"/>
                <w:sz w:val="24"/>
                <w:u w:val="none"/>
              </w:rPr>
              <w:t>苏银理财恒源季开放6号A</w:t>
            </w:r>
          </w:p>
        </w:tc>
        <w:tc>
          <w:tcPr>
            <w:tcW w:w="1470" w:type="dxa"/>
          </w:tcPr>
          <w:p>
            <w:pPr>
              <w:pageBreakBefore w:val="0"/>
              <w:jc w:val="center"/>
              <w:textAlignment w:val="auto"/>
            </w:pPr>
            <w:r>
              <w:rPr>
                <w:rFonts w:ascii="楷体" w:hAnsi="楷体" w:eastAsia="楷体" w:cs="楷体"/>
                <w:b w:val="0"/>
                <w:i w:val="0"/>
                <w:strike w:val="0"/>
                <w:color w:val="auto"/>
                <w:position w:val="-1"/>
                <w:sz w:val="24"/>
                <w:u w:val="none"/>
              </w:rPr>
              <w:t>1.10796</w:t>
            </w:r>
          </w:p>
        </w:tc>
        <w:tc>
          <w:tcPr>
            <w:tcW w:w="1665" w:type="dxa"/>
          </w:tcPr>
          <w:p>
            <w:pPr>
              <w:pageBreakBefore w:val="0"/>
              <w:jc w:val="center"/>
              <w:textAlignment w:val="auto"/>
            </w:pPr>
            <w:r>
              <w:rPr>
                <w:rFonts w:ascii="楷体" w:hAnsi="楷体" w:eastAsia="楷体" w:cs="楷体"/>
                <w:b w:val="0"/>
                <w:i w:val="0"/>
                <w:strike w:val="0"/>
                <w:color w:val="auto"/>
                <w:position w:val="-1"/>
                <w:sz w:val="24"/>
                <w:u w:val="none"/>
              </w:rPr>
              <w:t>1.10796</w:t>
            </w:r>
          </w:p>
        </w:tc>
        <w:tc>
          <w:tcPr>
            <w:tcW w:w="1876" w:type="dxa"/>
          </w:tcPr>
          <w:p>
            <w:pPr>
              <w:pageBreakBefore w:val="0"/>
              <w:jc w:val="center"/>
              <w:textAlignment w:val="auto"/>
            </w:pPr>
            <w:r>
              <w:rPr>
                <w:rFonts w:ascii="楷体" w:hAnsi="楷体" w:eastAsia="楷体" w:cs="楷体"/>
                <w:b w:val="0"/>
                <w:i w:val="0"/>
                <w:strike w:val="0"/>
                <w:color w:val="auto"/>
                <w:position w:val="-1"/>
                <w:sz w:val="24"/>
                <w:u w:val="none"/>
              </w:rPr>
              <w:t>2.20%-3.00%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510" w:type="dxa"/>
          </w:tcPr>
          <w:p>
            <w:pPr>
              <w:pageBreakBefore w:val="0"/>
              <w:jc w:val="center"/>
              <w:textAlignment w:val="auto"/>
            </w:pPr>
            <w:r>
              <w:rPr>
                <w:rFonts w:ascii="楷体" w:hAnsi="楷体" w:eastAsia="楷体" w:cs="楷体"/>
                <w:b w:val="0"/>
                <w:i w:val="0"/>
                <w:strike w:val="0"/>
                <w:color w:val="auto"/>
                <w:position w:val="-1"/>
                <w:sz w:val="24"/>
                <w:u w:val="none"/>
              </w:rPr>
              <w:t>2025-06-30</w:t>
            </w:r>
          </w:p>
        </w:tc>
        <w:tc>
          <w:tcPr>
            <w:tcW w:w="2100" w:type="dxa"/>
          </w:tcPr>
          <w:p>
            <w:pPr>
              <w:pageBreakBefore w:val="0"/>
              <w:jc w:val="center"/>
              <w:textAlignment w:val="auto"/>
            </w:pPr>
            <w:r>
              <w:rPr>
                <w:rFonts w:ascii="楷体" w:hAnsi="楷体" w:eastAsia="楷体" w:cs="楷体"/>
                <w:b w:val="0"/>
                <w:i w:val="0"/>
                <w:strike w:val="0"/>
                <w:color w:val="auto"/>
                <w:position w:val="-1"/>
                <w:sz w:val="24"/>
                <w:u w:val="none"/>
              </w:rPr>
              <w:t>苏银理财恒源季开放6号C</w:t>
            </w:r>
          </w:p>
        </w:tc>
        <w:tc>
          <w:tcPr>
            <w:tcW w:w="1470" w:type="dxa"/>
          </w:tcPr>
          <w:p>
            <w:pPr>
              <w:pageBreakBefore w:val="0"/>
              <w:jc w:val="center"/>
              <w:textAlignment w:val="auto"/>
            </w:pPr>
            <w:r>
              <w:rPr>
                <w:rFonts w:ascii="楷体" w:hAnsi="楷体" w:eastAsia="楷体" w:cs="楷体"/>
                <w:b w:val="0"/>
                <w:i w:val="0"/>
                <w:strike w:val="0"/>
                <w:color w:val="auto"/>
                <w:position w:val="-1"/>
                <w:sz w:val="24"/>
                <w:u w:val="none"/>
              </w:rPr>
              <w:t>1.111554</w:t>
            </w:r>
          </w:p>
        </w:tc>
        <w:tc>
          <w:tcPr>
            <w:tcW w:w="1665" w:type="dxa"/>
          </w:tcPr>
          <w:p>
            <w:pPr>
              <w:pageBreakBefore w:val="0"/>
              <w:jc w:val="center"/>
              <w:textAlignment w:val="auto"/>
            </w:pPr>
            <w:r>
              <w:rPr>
                <w:rFonts w:ascii="楷体" w:hAnsi="楷体" w:eastAsia="楷体" w:cs="楷体"/>
                <w:b w:val="0"/>
                <w:i w:val="0"/>
                <w:strike w:val="0"/>
                <w:color w:val="auto"/>
                <w:position w:val="-1"/>
                <w:sz w:val="24"/>
                <w:u w:val="none"/>
              </w:rPr>
              <w:t>1.111554</w:t>
            </w:r>
          </w:p>
        </w:tc>
        <w:tc>
          <w:tcPr>
            <w:tcW w:w="1876" w:type="dxa"/>
          </w:tcPr>
          <w:p>
            <w:pPr>
              <w:pageBreakBefore w:val="0"/>
              <w:jc w:val="center"/>
              <w:textAlignment w:val="auto"/>
            </w:pPr>
            <w:r>
              <w:rPr>
                <w:rFonts w:ascii="楷体" w:hAnsi="楷体" w:eastAsia="楷体" w:cs="楷体"/>
                <w:b w:val="0"/>
                <w:i w:val="0"/>
                <w:strike w:val="0"/>
                <w:color w:val="auto"/>
                <w:position w:val="-1"/>
                <w:sz w:val="24"/>
                <w:u w:val="none"/>
              </w:rPr>
              <w:t>2.30%-3.10%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510" w:type="dxa"/>
          </w:tcPr>
          <w:p>
            <w:pPr>
              <w:pageBreakBefore w:val="0"/>
              <w:jc w:val="center"/>
              <w:textAlignment w:val="auto"/>
            </w:pPr>
            <w:r>
              <w:rPr>
                <w:rFonts w:ascii="楷体" w:hAnsi="楷体" w:eastAsia="楷体" w:cs="楷体"/>
                <w:b w:val="0"/>
                <w:i w:val="0"/>
                <w:strike w:val="0"/>
                <w:color w:val="auto"/>
                <w:position w:val="-1"/>
                <w:sz w:val="24"/>
                <w:u w:val="none"/>
              </w:rPr>
              <w:t>2025-06-30</w:t>
            </w:r>
          </w:p>
        </w:tc>
        <w:tc>
          <w:tcPr>
            <w:tcW w:w="2100" w:type="dxa"/>
          </w:tcPr>
          <w:p>
            <w:pPr>
              <w:pageBreakBefore w:val="0"/>
              <w:jc w:val="center"/>
              <w:textAlignment w:val="auto"/>
            </w:pPr>
            <w:r>
              <w:rPr>
                <w:rFonts w:ascii="楷体" w:hAnsi="楷体" w:eastAsia="楷体" w:cs="楷体"/>
                <w:b w:val="0"/>
                <w:i w:val="0"/>
                <w:strike w:val="0"/>
                <w:color w:val="auto"/>
                <w:position w:val="-1"/>
                <w:sz w:val="24"/>
                <w:u w:val="none"/>
              </w:rPr>
              <w:t>苏银理财恒源季开放6号D</w:t>
            </w:r>
          </w:p>
        </w:tc>
        <w:tc>
          <w:tcPr>
            <w:tcW w:w="1470" w:type="dxa"/>
          </w:tcPr>
          <w:p>
            <w:pPr>
              <w:pageBreakBefore w:val="0"/>
              <w:jc w:val="center"/>
              <w:textAlignment w:val="auto"/>
            </w:pPr>
            <w:r>
              <w:rPr>
                <w:rFonts w:ascii="楷体" w:hAnsi="楷体" w:eastAsia="楷体" w:cs="楷体"/>
                <w:b w:val="0"/>
                <w:i w:val="0"/>
                <w:strike w:val="0"/>
                <w:color w:val="auto"/>
                <w:position w:val="-1"/>
                <w:sz w:val="24"/>
                <w:u w:val="none"/>
              </w:rPr>
              <w:t>1.11155</w:t>
            </w:r>
          </w:p>
        </w:tc>
        <w:tc>
          <w:tcPr>
            <w:tcW w:w="1665" w:type="dxa"/>
          </w:tcPr>
          <w:p>
            <w:pPr>
              <w:pageBreakBefore w:val="0"/>
              <w:jc w:val="center"/>
              <w:textAlignment w:val="auto"/>
            </w:pPr>
            <w:r>
              <w:rPr>
                <w:rFonts w:ascii="楷体" w:hAnsi="楷体" w:eastAsia="楷体" w:cs="楷体"/>
                <w:b w:val="0"/>
                <w:i w:val="0"/>
                <w:strike w:val="0"/>
                <w:color w:val="auto"/>
                <w:position w:val="-1"/>
                <w:sz w:val="24"/>
                <w:u w:val="none"/>
              </w:rPr>
              <w:t>1.11155</w:t>
            </w:r>
          </w:p>
        </w:tc>
        <w:tc>
          <w:tcPr>
            <w:tcW w:w="1876" w:type="dxa"/>
          </w:tcPr>
          <w:p>
            <w:pPr>
              <w:pageBreakBefore w:val="0"/>
              <w:jc w:val="center"/>
              <w:textAlignment w:val="auto"/>
            </w:pPr>
            <w:r>
              <w:rPr>
                <w:rFonts w:ascii="楷体" w:hAnsi="楷体" w:eastAsia="楷体" w:cs="楷体"/>
                <w:b w:val="0"/>
                <w:i w:val="0"/>
                <w:strike w:val="0"/>
                <w:color w:val="auto"/>
                <w:position w:val="-1"/>
                <w:sz w:val="24"/>
                <w:u w:val="none"/>
              </w:rPr>
              <w:t>2.35%-3.15%</w:t>
            </w:r>
          </w:p>
        </w:tc>
      </w:tr>
    </w:tbl>
    <w:p>
      <w:pPr>
        <w:rPr>
          <w:rFonts w:hint="eastAsia" w:ascii="楷体" w:hAnsi="楷体" w:eastAsia="楷体" w:cs="楷体"/>
        </w:rPr>
      </w:pPr>
    </w:p>
    <w:p>
      <w:pPr>
        <w:rPr>
          <w:rFonts w:hint="eastAsia" w:ascii="楷体" w:hAnsi="楷体" w:eastAsia="楷体" w:cs="楷体"/>
          <w:sz w:val="21"/>
          <w:szCs w:val="21"/>
        </w:rPr>
      </w:pPr>
      <w:r>
        <w:rPr>
          <w:rFonts w:hint="eastAsia" w:ascii="楷体" w:hAnsi="楷体" w:eastAsia="楷体" w:cs="楷体"/>
          <w:bCs/>
          <w:kern w:val="0"/>
          <w:sz w:val="21"/>
          <w:szCs w:val="21"/>
        </w:rPr>
        <w:t>业绩比较基准不代表理财产品未来表现，不等于理财产品实际收益，不作为产品收益的业绩保证，投资者的实际收益由产品净值表现决定。管理人参考过往投资经验，依据资产投资收益水平，在产品说明书约定的投资范围和投资比例内，综合考虑收取的费用情况，模拟测算得出业绩比较基准。</w:t>
      </w:r>
    </w:p>
    <w:p>
      <w:pPr>
        <w:rPr>
          <w:rFonts w:hint="eastAsia" w:ascii="楷体" w:hAnsi="楷体" w:eastAsia="楷体" w:cs="楷体"/>
        </w:rPr>
      </w:pPr>
    </w:p>
    <w:p>
      <w:pPr>
        <w:pStyle w:val="2"/>
        <w:rPr>
          <w:rFonts w:hint="eastAsia" w:ascii="楷体" w:hAnsi="楷体" w:eastAsia="楷体" w:cs="楷体"/>
        </w:rPr>
      </w:pPr>
      <w:r>
        <w:rPr>
          <w:rFonts w:hint="eastAsia" w:ascii="楷体" w:hAnsi="楷体" w:eastAsia="楷体" w:cs="楷体"/>
        </w:rPr>
        <w:t>三、产品投资组合情况</w:t>
      </w:r>
    </w:p>
    <w:p>
      <w:pPr>
        <w:pStyle w:val="2"/>
        <w:rPr>
          <w:rFonts w:hint="eastAsia" w:ascii="楷体" w:hAnsi="楷体" w:eastAsia="楷体" w:cs="楷体"/>
          <w:b w:val="0"/>
          <w:sz w:val="21"/>
        </w:rPr>
      </w:pPr>
      <w:r>
        <w:rPr>
          <w:rFonts w:hint="eastAsia" w:ascii="楷体" w:hAnsi="楷体" w:eastAsia="楷体" w:cs="楷体"/>
          <w:b w:val="0"/>
          <w:sz w:val="21"/>
        </w:rPr>
        <w:t>（一）期末理财产品持有资产情况</w:t>
      </w:r>
    </w:p>
    <w:tbl>
      <w:tblPr>
        <w:tblStyle w:val="9"/>
        <w:tblW w:w="830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27"/>
        <w:gridCol w:w="2413"/>
        <w:gridCol w:w="2610"/>
        <w:gridCol w:w="25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727" w:type="dxa"/>
            <w:vAlign w:val="center"/>
          </w:tcPr>
          <w:p>
            <w:pPr>
              <w:spacing w:line="320" w:lineRule="exact"/>
              <w:jc w:val="center"/>
              <w:rPr>
                <w:rFonts w:hint="eastAsia" w:ascii="楷体" w:hAnsi="楷体" w:eastAsia="楷体" w:cs="楷体"/>
                <w:sz w:val="21"/>
                <w:szCs w:val="21"/>
              </w:rPr>
            </w:pPr>
            <w:r>
              <w:rPr>
                <w:rFonts w:hint="eastAsia" w:ascii="楷体" w:hAnsi="楷体" w:eastAsia="楷体" w:cs="楷体"/>
                <w:sz w:val="21"/>
                <w:szCs w:val="21"/>
              </w:rPr>
              <w:t>序号</w:t>
            </w:r>
          </w:p>
        </w:tc>
        <w:tc>
          <w:tcPr>
            <w:tcW w:w="2413" w:type="dxa"/>
            <w:vAlign w:val="center"/>
          </w:tcPr>
          <w:p>
            <w:pPr>
              <w:spacing w:line="320" w:lineRule="exact"/>
              <w:jc w:val="center"/>
              <w:rPr>
                <w:rFonts w:hint="eastAsia" w:ascii="楷体" w:hAnsi="楷体" w:eastAsia="楷体" w:cs="楷体"/>
                <w:sz w:val="21"/>
                <w:szCs w:val="21"/>
              </w:rPr>
            </w:pPr>
            <w:r>
              <w:rPr>
                <w:rFonts w:hint="eastAsia" w:ascii="楷体" w:hAnsi="楷体" w:eastAsia="楷体" w:cs="楷体"/>
                <w:sz w:val="21"/>
                <w:szCs w:val="21"/>
              </w:rPr>
              <w:t>资产类别</w:t>
            </w:r>
          </w:p>
        </w:tc>
        <w:tc>
          <w:tcPr>
            <w:tcW w:w="2610" w:type="dxa"/>
            <w:vAlign w:val="center"/>
          </w:tcPr>
          <w:p>
            <w:pPr>
              <w:spacing w:line="320" w:lineRule="exact"/>
              <w:rPr>
                <w:rFonts w:hint="eastAsia" w:ascii="楷体" w:hAnsi="楷体" w:eastAsia="楷体" w:cs="楷体"/>
                <w:sz w:val="21"/>
                <w:szCs w:val="21"/>
              </w:rPr>
            </w:pPr>
            <w:r>
              <w:rPr>
                <w:rFonts w:hint="eastAsia" w:ascii="楷体" w:hAnsi="楷体" w:eastAsia="楷体" w:cs="楷体"/>
                <w:sz w:val="21"/>
                <w:szCs w:val="21"/>
              </w:rPr>
              <w:t>直接投资占总资产的比例</w:t>
            </w:r>
          </w:p>
        </w:tc>
        <w:tc>
          <w:tcPr>
            <w:tcW w:w="2550" w:type="dxa"/>
            <w:vAlign w:val="center"/>
          </w:tcPr>
          <w:p>
            <w:pPr>
              <w:spacing w:line="320" w:lineRule="exact"/>
              <w:jc w:val="center"/>
              <w:rPr>
                <w:rFonts w:hint="eastAsia" w:ascii="楷体" w:hAnsi="楷体" w:eastAsia="楷体" w:cs="楷体"/>
                <w:sz w:val="21"/>
                <w:szCs w:val="21"/>
              </w:rPr>
            </w:pPr>
            <w:r>
              <w:rPr>
                <w:rFonts w:hint="eastAsia" w:ascii="楷体" w:hAnsi="楷体" w:eastAsia="楷体" w:cs="楷体"/>
                <w:sz w:val="21"/>
                <w:szCs w:val="21"/>
              </w:rPr>
              <w:t>间接投资占总资产的比例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727" w:type="dxa"/>
            <w:vAlign w:val="center"/>
          </w:tcPr>
          <w:p>
            <w:pPr>
              <w:jc w:val="center"/>
              <w:rPr>
                <w:rFonts w:hint="eastAsia" w:ascii="楷体" w:hAnsi="楷体" w:eastAsia="楷体" w:cs="楷体"/>
                <w:sz w:val="24"/>
                <w:szCs w:val="24"/>
              </w:rPr>
            </w:pPr>
            <w:r>
              <w:rPr>
                <w:rFonts w:hint="eastAsia" w:ascii="楷体" w:hAnsi="楷体" w:eastAsia="楷体" w:cs="楷体"/>
                <w:sz w:val="24"/>
                <w:szCs w:val="24"/>
              </w:rPr>
              <w:t>1</w:t>
            </w:r>
          </w:p>
        </w:tc>
        <w:tc>
          <w:tcPr>
            <w:tcW w:w="2413" w:type="dxa"/>
            <w:vAlign w:val="center"/>
          </w:tcPr>
          <w:p>
            <w:pPr>
              <w:jc w:val="center"/>
              <w:rPr>
                <w:rFonts w:hint="eastAsia" w:ascii="楷体" w:hAnsi="楷体" w:eastAsia="楷体" w:cs="楷体"/>
                <w:sz w:val="24"/>
                <w:szCs w:val="24"/>
              </w:rPr>
            </w:pPr>
            <w:r>
              <w:rPr>
                <w:rFonts w:hint="eastAsia" w:ascii="楷体" w:hAnsi="楷体" w:eastAsia="楷体" w:cs="楷体"/>
                <w:sz w:val="24"/>
                <w:szCs w:val="24"/>
              </w:rPr>
              <w:t>固定收益类</w:t>
            </w:r>
          </w:p>
        </w:tc>
        <w:tc>
          <w:tcPr>
            <w:tcW w:w="2610" w:type="dxa"/>
            <w:vAlign w:val="center"/>
          </w:tcPr>
          <w:p>
            <w:pPr>
              <w:jc w:val="center"/>
              <w:rPr>
                <w:rFonts w:hint="eastAsia" w:ascii="楷体" w:hAnsi="楷体" w:eastAsia="楷体" w:cs="楷体"/>
                <w:sz w:val="24"/>
                <w:szCs w:val="24"/>
              </w:rPr>
            </w:pPr>
            <w:r>
              <w:rPr>
                <w:rFonts w:hint="eastAsia" w:ascii="楷体" w:hAnsi="楷体" w:eastAsia="楷体" w:cs="楷体"/>
                <w:sz w:val="24"/>
                <w:szCs w:val="24"/>
              </w:rPr>
              <w:t>40.79%</w:t>
            </w:r>
          </w:p>
        </w:tc>
        <w:tc>
          <w:tcPr>
            <w:tcW w:w="2550" w:type="dxa"/>
            <w:vAlign w:val="center"/>
          </w:tcPr>
          <w:p>
            <w:pPr>
              <w:jc w:val="center"/>
              <w:rPr>
                <w:rFonts w:hint="eastAsia" w:ascii="楷体" w:hAnsi="楷体" w:eastAsia="楷体" w:cs="楷体"/>
                <w:sz w:val="24"/>
                <w:szCs w:val="24"/>
              </w:rPr>
            </w:pPr>
            <w:r>
              <w:rPr>
                <w:rFonts w:hint="eastAsia" w:ascii="楷体" w:hAnsi="楷体" w:eastAsia="楷体" w:cs="楷体"/>
                <w:sz w:val="24"/>
                <w:szCs w:val="24"/>
              </w:rPr>
              <w:t>58.02%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727" w:type="dxa"/>
            <w:vAlign w:val="center"/>
          </w:tcPr>
          <w:p>
            <w:pPr>
              <w:pageBreakBefore w:val="0"/>
              <w:jc w:val="center"/>
              <w:textAlignment w:val="auto"/>
            </w:pPr>
            <w:r>
              <w:rPr>
                <w:rFonts w:ascii="楷体" w:hAnsi="楷体" w:eastAsia="楷体" w:cs="楷体"/>
                <w:b w:val="0"/>
                <w:i w:val="0"/>
                <w:strike w:val="0"/>
                <w:color w:val="auto"/>
                <w:position w:val="-1"/>
                <w:sz w:val="24"/>
                <w:u w:val="none"/>
              </w:rPr>
              <w:t>2</w:t>
            </w:r>
          </w:p>
        </w:tc>
        <w:tc>
          <w:tcPr>
            <w:tcW w:w="2413" w:type="dxa"/>
            <w:vAlign w:val="center"/>
          </w:tcPr>
          <w:p>
            <w:pPr>
              <w:pageBreakBefore w:val="0"/>
              <w:jc w:val="center"/>
              <w:textAlignment w:val="auto"/>
            </w:pPr>
            <w:r>
              <w:rPr>
                <w:rFonts w:ascii="楷体" w:hAnsi="楷体" w:eastAsia="楷体" w:cs="楷体"/>
                <w:b w:val="0"/>
                <w:i w:val="0"/>
                <w:strike w:val="0"/>
                <w:color w:val="auto"/>
                <w:position w:val="-1"/>
                <w:sz w:val="24"/>
                <w:u w:val="none"/>
              </w:rPr>
              <w:t>权益类</w:t>
            </w:r>
          </w:p>
        </w:tc>
        <w:tc>
          <w:tcPr>
            <w:tcW w:w="2610" w:type="dxa"/>
            <w:vAlign w:val="center"/>
          </w:tcPr>
          <w:p>
            <w:pPr>
              <w:pageBreakBefore w:val="0"/>
              <w:jc w:val="center"/>
              <w:textAlignment w:val="auto"/>
            </w:pPr>
            <w:r>
              <w:rPr>
                <w:rFonts w:ascii="楷体" w:hAnsi="楷体" w:eastAsia="楷体" w:cs="楷体"/>
                <w:b w:val="0"/>
                <w:i w:val="0"/>
                <w:strike w:val="0"/>
                <w:color w:val="auto"/>
                <w:position w:val="-1"/>
                <w:sz w:val="24"/>
                <w:u w:val="none"/>
              </w:rPr>
              <w:t>1.19%</w:t>
            </w:r>
          </w:p>
        </w:tc>
        <w:tc>
          <w:tcPr>
            <w:tcW w:w="2550" w:type="dxa"/>
            <w:vAlign w:val="center"/>
          </w:tcPr>
          <w:p>
            <w:pPr>
              <w:pageBreakBefore w:val="0"/>
              <w:jc w:val="center"/>
              <w:textAlignment w:val="auto"/>
            </w:pPr>
            <w:r>
              <w:rPr>
                <w:rFonts w:ascii="楷体" w:hAnsi="楷体" w:eastAsia="楷体" w:cs="楷体"/>
                <w:b w:val="0"/>
                <w:i w:val="0"/>
                <w:strike w:val="0"/>
                <w:color w:val="auto"/>
                <w:position w:val="-1"/>
                <w:sz w:val="24"/>
                <w:u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727" w:type="dxa"/>
            <w:vAlign w:val="center"/>
          </w:tcPr>
          <w:p>
            <w:pPr>
              <w:pageBreakBefore w:val="0"/>
              <w:jc w:val="center"/>
              <w:textAlignment w:val="auto"/>
            </w:pPr>
            <w:r>
              <w:rPr>
                <w:rFonts w:ascii="楷体" w:hAnsi="楷体" w:eastAsia="楷体" w:cs="楷体"/>
                <w:b w:val="0"/>
                <w:i w:val="0"/>
                <w:strike w:val="0"/>
                <w:color w:val="auto"/>
                <w:position w:val="-1"/>
                <w:sz w:val="24"/>
                <w:u w:val="none"/>
              </w:rPr>
              <w:t>3</w:t>
            </w:r>
          </w:p>
        </w:tc>
        <w:tc>
          <w:tcPr>
            <w:tcW w:w="2413" w:type="dxa"/>
            <w:vAlign w:val="center"/>
          </w:tcPr>
          <w:p>
            <w:pPr>
              <w:pageBreakBefore w:val="0"/>
              <w:jc w:val="center"/>
              <w:textAlignment w:val="auto"/>
            </w:pPr>
            <w:r>
              <w:rPr>
                <w:rFonts w:ascii="楷体" w:hAnsi="楷体" w:eastAsia="楷体" w:cs="楷体"/>
                <w:b w:val="0"/>
                <w:i w:val="0"/>
                <w:strike w:val="0"/>
                <w:color w:val="auto"/>
                <w:position w:val="-1"/>
                <w:sz w:val="24"/>
                <w:u w:val="none"/>
              </w:rPr>
              <w:t>商品及金融衍生品类</w:t>
            </w:r>
          </w:p>
        </w:tc>
        <w:tc>
          <w:tcPr>
            <w:tcW w:w="2610" w:type="dxa"/>
            <w:vAlign w:val="center"/>
          </w:tcPr>
          <w:p>
            <w:pPr>
              <w:pageBreakBefore w:val="0"/>
              <w:jc w:val="center"/>
              <w:textAlignment w:val="auto"/>
            </w:pPr>
            <w:r>
              <w:rPr>
                <w:rFonts w:ascii="楷体" w:hAnsi="楷体" w:eastAsia="楷体" w:cs="楷体"/>
                <w:b w:val="0"/>
                <w:i w:val="0"/>
                <w:strike w:val="0"/>
                <w:color w:val="auto"/>
                <w:position w:val="-1"/>
                <w:sz w:val="24"/>
                <w:u w:val="none"/>
              </w:rPr>
              <w:t>-</w:t>
            </w:r>
          </w:p>
        </w:tc>
        <w:tc>
          <w:tcPr>
            <w:tcW w:w="2550" w:type="dxa"/>
            <w:vAlign w:val="center"/>
          </w:tcPr>
          <w:p>
            <w:pPr>
              <w:pageBreakBefore w:val="0"/>
              <w:jc w:val="center"/>
              <w:textAlignment w:val="auto"/>
            </w:pPr>
            <w:r>
              <w:rPr>
                <w:rFonts w:ascii="楷体" w:hAnsi="楷体" w:eastAsia="楷体" w:cs="楷体"/>
                <w:b w:val="0"/>
                <w:i w:val="0"/>
                <w:strike w:val="0"/>
                <w:color w:val="auto"/>
                <w:position w:val="-1"/>
                <w:sz w:val="24"/>
                <w:u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727" w:type="dxa"/>
            <w:vAlign w:val="center"/>
          </w:tcPr>
          <w:p>
            <w:pPr>
              <w:pageBreakBefore w:val="0"/>
              <w:jc w:val="center"/>
              <w:textAlignment w:val="auto"/>
            </w:pPr>
            <w:r>
              <w:rPr>
                <w:rFonts w:ascii="楷体" w:hAnsi="楷体" w:eastAsia="楷体" w:cs="楷体"/>
                <w:b w:val="0"/>
                <w:i w:val="0"/>
                <w:strike w:val="0"/>
                <w:color w:val="auto"/>
                <w:position w:val="-1"/>
                <w:sz w:val="24"/>
                <w:u w:val="none"/>
              </w:rPr>
              <w:t>4</w:t>
            </w:r>
          </w:p>
        </w:tc>
        <w:tc>
          <w:tcPr>
            <w:tcW w:w="2413" w:type="dxa"/>
            <w:vAlign w:val="center"/>
          </w:tcPr>
          <w:p>
            <w:pPr>
              <w:pageBreakBefore w:val="0"/>
              <w:jc w:val="center"/>
              <w:textAlignment w:val="auto"/>
            </w:pPr>
            <w:r>
              <w:rPr>
                <w:rFonts w:ascii="楷体" w:hAnsi="楷体" w:eastAsia="楷体" w:cs="楷体"/>
                <w:b w:val="0"/>
                <w:i w:val="0"/>
                <w:strike w:val="0"/>
                <w:color w:val="auto"/>
                <w:position w:val="-1"/>
                <w:sz w:val="24"/>
                <w:u w:val="none"/>
              </w:rPr>
              <w:t>混合类</w:t>
            </w:r>
          </w:p>
        </w:tc>
        <w:tc>
          <w:tcPr>
            <w:tcW w:w="2610" w:type="dxa"/>
            <w:vAlign w:val="center"/>
          </w:tcPr>
          <w:p>
            <w:pPr>
              <w:pageBreakBefore w:val="0"/>
              <w:jc w:val="center"/>
              <w:textAlignment w:val="auto"/>
            </w:pPr>
            <w:r>
              <w:rPr>
                <w:rFonts w:ascii="楷体" w:hAnsi="楷体" w:eastAsia="楷体" w:cs="楷体"/>
                <w:b w:val="0"/>
                <w:i w:val="0"/>
                <w:strike w:val="0"/>
                <w:color w:val="auto"/>
                <w:position w:val="-1"/>
                <w:sz w:val="24"/>
                <w:u w:val="none"/>
              </w:rPr>
              <w:t>-</w:t>
            </w:r>
          </w:p>
        </w:tc>
        <w:tc>
          <w:tcPr>
            <w:tcW w:w="2550" w:type="dxa"/>
            <w:vAlign w:val="center"/>
          </w:tcPr>
          <w:p>
            <w:pPr>
              <w:pageBreakBefore w:val="0"/>
              <w:jc w:val="center"/>
              <w:textAlignment w:val="auto"/>
            </w:pPr>
            <w:r>
              <w:rPr>
                <w:rFonts w:ascii="楷体" w:hAnsi="楷体" w:eastAsia="楷体" w:cs="楷体"/>
                <w:b w:val="0"/>
                <w:i w:val="0"/>
                <w:strike w:val="0"/>
                <w:color w:val="auto"/>
                <w:position w:val="-1"/>
                <w:sz w:val="24"/>
                <w:u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3140" w:type="dxa"/>
            <w:gridSpan w:val="2"/>
            <w:shd w:val="clear" w:color="auto" w:fill="auto"/>
            <w:vAlign w:val="center"/>
          </w:tcPr>
          <w:p>
            <w:pPr>
              <w:tabs>
                <w:tab w:val="center" w:pos="1522"/>
                <w:tab w:val="right" w:pos="2924"/>
              </w:tabs>
              <w:jc w:val="left"/>
              <w:rPr>
                <w:rFonts w:hint="eastAsia" w:ascii="楷体" w:hAnsi="楷体" w:eastAsia="楷体" w:cs="楷体"/>
                <w:sz w:val="24"/>
                <w:szCs w:val="24"/>
                <w:lang w:eastAsia="zh-CN"/>
              </w:rPr>
            </w:pPr>
            <w:r>
              <w:rPr>
                <w:rFonts w:hint="eastAsia" w:ascii="楷体" w:hAnsi="楷体" w:eastAsia="楷体" w:cs="楷体"/>
                <w:sz w:val="24"/>
                <w:szCs w:val="24"/>
                <w:lang w:eastAsia="zh-CN"/>
              </w:rPr>
              <w:tab/>
            </w:r>
            <w:r>
              <w:rPr>
                <w:rFonts w:hint="eastAsia" w:ascii="楷体" w:hAnsi="楷体" w:eastAsia="楷体" w:cs="楷体"/>
                <w:sz w:val="24"/>
                <w:szCs w:val="24"/>
              </w:rPr>
              <w:t>合计</w:t>
            </w:r>
            <w:r>
              <w:rPr>
                <w:rFonts w:hint="eastAsia" w:ascii="楷体" w:hAnsi="楷体" w:eastAsia="楷体" w:cs="楷体"/>
                <w:sz w:val="24"/>
                <w:szCs w:val="24"/>
                <w:lang w:eastAsia="zh-CN"/>
              </w:rPr>
              <w:tab/>
            </w:r>
          </w:p>
        </w:tc>
        <w:tc>
          <w:tcPr>
            <w:tcW w:w="2610" w:type="dxa"/>
            <w:shd w:val="clear" w:color="auto" w:fill="auto"/>
            <w:vAlign w:val="center"/>
          </w:tcPr>
          <w:p>
            <w:pPr>
              <w:jc w:val="center"/>
              <w:rPr>
                <w:rFonts w:hint="eastAsia" w:ascii="楷体" w:hAnsi="楷体" w:eastAsia="楷体" w:cs="楷体"/>
                <w:sz w:val="24"/>
                <w:szCs w:val="24"/>
              </w:rPr>
            </w:pPr>
            <w:r>
              <w:rPr>
                <w:rFonts w:hint="eastAsia" w:ascii="楷体" w:hAnsi="楷体" w:eastAsia="楷体" w:cs="楷体"/>
                <w:sz w:val="24"/>
                <w:szCs w:val="24"/>
              </w:rPr>
              <w:t>41.98%</w:t>
            </w:r>
          </w:p>
        </w:tc>
        <w:tc>
          <w:tcPr>
            <w:tcW w:w="2550" w:type="dxa"/>
            <w:shd w:val="clear" w:color="auto" w:fill="FFFFFF"/>
            <w:vAlign w:val="center"/>
          </w:tcPr>
          <w:p>
            <w:pPr>
              <w:jc w:val="center"/>
              <w:rPr>
                <w:rFonts w:hint="eastAsia" w:ascii="楷体" w:hAnsi="楷体" w:eastAsia="楷体" w:cs="楷体"/>
                <w:sz w:val="24"/>
                <w:szCs w:val="24"/>
              </w:rPr>
            </w:pPr>
            <w:r>
              <w:rPr>
                <w:rFonts w:hint="eastAsia" w:ascii="楷体" w:hAnsi="楷体" w:eastAsia="楷体" w:cs="楷体"/>
                <w:sz w:val="24"/>
                <w:szCs w:val="24"/>
              </w:rPr>
              <w:t>58.02%</w:t>
            </w:r>
          </w:p>
        </w:tc>
      </w:tr>
    </w:tbl>
    <w:p>
      <w:pPr>
        <w:rPr>
          <w:rFonts w:hint="eastAsia" w:ascii="楷体" w:hAnsi="楷体" w:eastAsia="楷体" w:cs="楷体"/>
        </w:rPr>
      </w:pPr>
    </w:p>
    <w:p>
      <w:pPr>
        <w:pStyle w:val="2"/>
        <w:ind w:left="0"/>
        <w:rPr>
          <w:rFonts w:hint="eastAsia" w:ascii="楷体" w:hAnsi="楷体" w:eastAsia="楷体" w:cs="楷体"/>
          <w:b w:val="0"/>
          <w:sz w:val="21"/>
        </w:rPr>
      </w:pPr>
      <w:r>
        <w:rPr>
          <w:rFonts w:hint="eastAsia" w:ascii="楷体" w:hAnsi="楷体" w:eastAsia="楷体" w:cs="楷体"/>
          <w:b w:val="0"/>
          <w:sz w:val="21"/>
        </w:rPr>
        <w:t>（二）期末理财产品持有的前十项资产</w:t>
      </w:r>
    </w:p>
    <w:tbl>
      <w:tblPr>
        <w:tblStyle w:val="9"/>
        <w:tblW w:w="861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73"/>
        <w:gridCol w:w="2434"/>
        <w:gridCol w:w="1275"/>
        <w:gridCol w:w="2235"/>
        <w:gridCol w:w="18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序号</w:t>
            </w:r>
          </w:p>
        </w:tc>
        <w:tc>
          <w:tcPr>
            <w:tcW w:w="2434" w:type="dxa"/>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资产名称</w:t>
            </w:r>
          </w:p>
        </w:tc>
        <w:tc>
          <w:tcPr>
            <w:tcW w:w="1275" w:type="dxa"/>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资产类别</w:t>
            </w:r>
          </w:p>
        </w:tc>
        <w:tc>
          <w:tcPr>
            <w:tcW w:w="2235" w:type="dxa"/>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持有金额（元）</w:t>
            </w:r>
          </w:p>
        </w:tc>
        <w:tc>
          <w:tcPr>
            <w:tcW w:w="1800" w:type="dxa"/>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占产品总资产的比例（%）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jc w:val="center"/>
              <w:rPr>
                <w:rFonts w:hint="eastAsia" w:ascii="楷体" w:hAnsi="楷体" w:eastAsia="楷体" w:cs="楷体"/>
                <w:sz w:val="22"/>
              </w:rPr>
            </w:pPr>
            <w:r>
              <w:rPr>
                <w:rFonts w:hint="eastAsia" w:ascii="楷体" w:hAnsi="楷体" w:eastAsia="楷体" w:cs="楷体"/>
                <w:sz w:val="22"/>
              </w:rPr>
              <w:t>1</w:t>
            </w:r>
          </w:p>
        </w:tc>
        <w:tc>
          <w:tcPr>
            <w:tcW w:w="2434" w:type="dxa"/>
          </w:tcPr>
          <w:p>
            <w:pPr>
              <w:jc w:val="center"/>
              <w:rPr>
                <w:rFonts w:hint="eastAsia" w:ascii="楷体" w:hAnsi="楷体" w:eastAsia="楷体" w:cs="楷体"/>
                <w:sz w:val="22"/>
              </w:rPr>
            </w:pPr>
            <w:r>
              <w:rPr>
                <w:rFonts w:hint="eastAsia" w:ascii="楷体" w:hAnsi="楷体" w:eastAsia="楷体" w:cs="楷体"/>
                <w:sz w:val="22"/>
              </w:rPr>
              <w:t>22开泰02</w:t>
            </w:r>
          </w:p>
        </w:tc>
        <w:tc>
          <w:tcPr>
            <w:tcW w:w="1275" w:type="dxa"/>
          </w:tcPr>
          <w:p>
            <w:pPr>
              <w:jc w:val="center"/>
              <w:rPr>
                <w:rFonts w:hint="eastAsia" w:ascii="楷体" w:hAnsi="楷体" w:eastAsia="楷体" w:cs="楷体"/>
                <w:sz w:val="22"/>
              </w:rPr>
            </w:pPr>
            <w:r>
              <w:rPr>
                <w:rFonts w:hint="eastAsia" w:ascii="楷体" w:hAnsi="楷体" w:eastAsia="楷体" w:cs="楷体"/>
                <w:sz w:val="22"/>
              </w:rPr>
              <w:t>债券</w:t>
            </w:r>
          </w:p>
        </w:tc>
        <w:tc>
          <w:tcPr>
            <w:tcW w:w="2235" w:type="dxa"/>
          </w:tcPr>
          <w:p>
            <w:pPr>
              <w:jc w:val="center"/>
              <w:rPr>
                <w:rFonts w:hint="eastAsia" w:ascii="楷体" w:hAnsi="楷体" w:eastAsia="楷体" w:cs="楷体"/>
                <w:sz w:val="22"/>
              </w:rPr>
            </w:pPr>
            <w:r>
              <w:rPr>
                <w:rFonts w:hint="eastAsia" w:ascii="楷体" w:hAnsi="楷体" w:eastAsia="楷体" w:cs="楷体"/>
                <w:sz w:val="22"/>
              </w:rPr>
              <w:t>61,782,904.11</w:t>
            </w:r>
          </w:p>
        </w:tc>
        <w:tc>
          <w:tcPr>
            <w:tcW w:w="1800" w:type="dxa"/>
          </w:tcPr>
          <w:p>
            <w:pPr>
              <w:jc w:val="center"/>
              <w:rPr>
                <w:rFonts w:hint="eastAsia" w:ascii="楷体" w:hAnsi="楷体" w:eastAsia="楷体" w:cs="楷体"/>
                <w:sz w:val="22"/>
              </w:rPr>
            </w:pPr>
            <w:r>
              <w:rPr>
                <w:rFonts w:hint="eastAsia" w:ascii="楷体" w:hAnsi="楷体" w:eastAsia="楷体" w:cs="楷体"/>
                <w:sz w:val="22"/>
              </w:rPr>
              <w:t>4.60%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2</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23大丰01</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债券</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52,982,616.44</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3.94%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3</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22曲水F1</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债券</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51,659,034.25</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3.85%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4</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22锡工01</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债券</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51,657,589.04</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3.85%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5</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22扬新01</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债券</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51,352,739.73</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3.82%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6</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22泰金01</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债券</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51,260,273.98</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3.82%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7</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22天山01</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债券</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51,130,136.99</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3.81%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8</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24牛首04</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债券</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50,406,767.13</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3.75%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9</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22苏金K1</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债券</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41,061,654.80</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3.06%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10</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22华阔01</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债券</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37,956,982.19</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2.83%</w:t>
            </w:r>
          </w:p>
        </w:tc>
      </w:tr>
    </w:tbl>
    <w:p>
      <w:pPr>
        <w:pStyle w:val="14"/>
        <w:rPr>
          <w:rFonts w:hint="eastAsia" w:ascii="楷体" w:hAnsi="楷体" w:eastAsia="楷体" w:cs="楷体"/>
        </w:rPr>
      </w:pPr>
    </w:p>
    <w:p>
      <w:pPr>
        <w:pStyle w:val="2"/>
        <w:numPr>
          <w:ilvl w:val="0"/>
          <w:numId w:val="1"/>
        </w:numPr>
        <w:rPr>
          <w:rFonts w:hint="eastAsia" w:ascii="楷体" w:hAnsi="楷体" w:eastAsia="楷体" w:cs="楷体"/>
          <w:b w:val="0"/>
          <w:sz w:val="21"/>
        </w:rPr>
      </w:pPr>
      <w:r>
        <w:rPr>
          <w:rFonts w:hint="eastAsia" w:ascii="楷体" w:hAnsi="楷体" w:eastAsia="楷体" w:cs="楷体"/>
          <w:b w:val="0"/>
          <w:sz w:val="21"/>
        </w:rPr>
        <w:t>非标资产情况</w:t>
      </w:r>
    </w:p>
    <w:p>
      <w:pPr>
        <w:ind w:firstLine="220" w:firstLineChars="100"/>
        <w:rPr>
          <w:rFonts w:hint="eastAsia" w:ascii="楷体" w:hAnsi="楷体" w:eastAsia="楷体" w:cs="楷体"/>
        </w:rPr>
      </w:pPr>
      <w:r>
        <w:rPr>
          <w:rFonts w:hint="eastAsia" w:ascii="楷体" w:hAnsi="楷体" w:eastAsia="楷体" w:cs="楷体"/>
          <w:sz w:val="22"/>
          <w:szCs w:val="24"/>
        </w:rPr>
        <w:t>1）非标资产投资情况</w:t>
      </w:r>
    </w:p>
    <w:tbl>
      <w:tblPr>
        <w:tblStyle w:val="9"/>
        <w:tblW w:w="8811" w:type="dxa"/>
        <w:tblInd w:w="0" w:type="dxa"/>
        <w:tblLayout w:type="fixed"/>
        <w:tblCellMar>
          <w:top w:w="0" w:type="dxa"/>
          <w:left w:w="108" w:type="dxa"/>
          <w:bottom w:w="0" w:type="dxa"/>
          <w:right w:w="108" w:type="dxa"/>
        </w:tblCellMar>
      </w:tblPr>
      <w:tblGrid>
        <w:gridCol w:w="1401"/>
        <w:gridCol w:w="1410"/>
        <w:gridCol w:w="1245"/>
        <w:gridCol w:w="1485"/>
        <w:gridCol w:w="1335"/>
        <w:gridCol w:w="1080"/>
        <w:gridCol w:w="855"/>
      </w:tblGrid>
      <w:tr>
        <w:tblPrEx>
          <w:tblCellMar>
            <w:top w:w="0" w:type="dxa"/>
            <w:left w:w="108" w:type="dxa"/>
            <w:bottom w:w="0" w:type="dxa"/>
            <w:right w:w="108" w:type="dxa"/>
          </w:tblCellMar>
        </w:tblPrEx>
        <w:trPr>
          <w:trHeight w:val="270" w:hRule="atLeast"/>
        </w:trPr>
        <w:tc>
          <w:tcPr>
            <w:tcW w:w="1401"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融资客户</w:t>
            </w:r>
          </w:p>
        </w:tc>
        <w:tc>
          <w:tcPr>
            <w:tcW w:w="1410" w:type="dxa"/>
            <w:tcBorders>
              <w:top w:val="single" w:color="auto" w:sz="4" w:space="0"/>
              <w:left w:val="nil"/>
              <w:bottom w:val="single" w:color="auto" w:sz="4" w:space="0"/>
              <w:right w:val="single" w:color="auto" w:sz="4" w:space="0"/>
            </w:tcBorders>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项目名称</w:t>
            </w:r>
          </w:p>
        </w:tc>
        <w:tc>
          <w:tcPr>
            <w:tcW w:w="1245" w:type="dxa"/>
            <w:tcBorders>
              <w:top w:val="single" w:color="auto" w:sz="4" w:space="0"/>
              <w:left w:val="nil"/>
              <w:bottom w:val="single" w:color="auto" w:sz="4" w:space="0"/>
              <w:right w:val="single" w:color="auto" w:sz="4" w:space="0"/>
            </w:tcBorders>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剩余融资期限（天）</w:t>
            </w:r>
          </w:p>
        </w:tc>
        <w:tc>
          <w:tcPr>
            <w:tcW w:w="1485" w:type="dxa"/>
            <w:tcBorders>
              <w:top w:val="single" w:color="auto" w:sz="4" w:space="0"/>
              <w:left w:val="nil"/>
              <w:bottom w:val="single" w:color="auto" w:sz="4" w:space="0"/>
              <w:right w:val="single" w:color="auto" w:sz="4" w:space="0"/>
            </w:tcBorders>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资产面值</w:t>
            </w:r>
          </w:p>
        </w:tc>
        <w:tc>
          <w:tcPr>
            <w:tcW w:w="1335" w:type="dxa"/>
            <w:tcBorders>
              <w:top w:val="single" w:color="auto" w:sz="4" w:space="0"/>
              <w:left w:val="nil"/>
              <w:bottom w:val="single" w:color="auto" w:sz="4" w:space="0"/>
              <w:right w:val="single" w:color="auto" w:sz="4" w:space="0"/>
            </w:tcBorders>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到期分配方式</w:t>
            </w:r>
          </w:p>
        </w:tc>
        <w:tc>
          <w:tcPr>
            <w:tcW w:w="1080" w:type="dxa"/>
            <w:tcBorders>
              <w:top w:val="single" w:color="auto" w:sz="4" w:space="0"/>
              <w:left w:val="nil"/>
              <w:bottom w:val="single" w:color="auto" w:sz="4" w:space="0"/>
              <w:right w:val="single" w:color="auto" w:sz="4" w:space="0"/>
            </w:tcBorders>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交易结构</w:t>
            </w:r>
          </w:p>
        </w:tc>
        <w:tc>
          <w:tcPr>
            <w:tcW w:w="855" w:type="dxa"/>
            <w:tcBorders>
              <w:top w:val="single" w:color="auto" w:sz="4" w:space="0"/>
              <w:left w:val="nil"/>
              <w:bottom w:val="single" w:color="auto" w:sz="4" w:space="0"/>
              <w:right w:val="single" w:color="auto" w:sz="4" w:space="0"/>
            </w:tcBorders>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风险状况</w:t>
            </w:r>
          </w:p>
        </w:tc>
      </w:tr>
      <w:tr>
        <w:tblPrEx>
          <w:tblCellMar>
            <w:top w:w="0" w:type="dxa"/>
            <w:left w:w="108" w:type="dxa"/>
            <w:bottom w:w="0" w:type="dxa"/>
            <w:right w:w="108" w:type="dxa"/>
          </w:tblCellMar>
        </w:tblPrEx>
        <w:trPr>
          <w:trHeight w:val="270" w:hRule="atLeast"/>
        </w:trPr>
        <w:tc>
          <w:tcPr>
            <w:tcW w:w="1401" w:type="dxa"/>
            <w:tcBorders>
              <w:top w:val="single" w:color="auto" w:sz="4" w:space="0"/>
              <w:left w:val="single" w:color="auto" w:sz="4" w:space="0"/>
              <w:bottom w:val="single" w:color="auto" w:sz="4" w:space="0"/>
              <w:right w:val="single" w:color="auto" w:sz="4" w:space="0"/>
            </w:tcBorders>
          </w:tcPr>
          <w:p>
            <w:pPr>
              <w:jc w:val="center"/>
              <w:rPr>
                <w:rFonts w:hint="eastAsia" w:ascii="楷体" w:hAnsi="楷体" w:eastAsia="楷体" w:cs="楷体"/>
                <w:sz w:val="22"/>
                <w:szCs w:val="24"/>
                <w:highlight w:val="yellow"/>
              </w:rPr>
            </w:pPr>
            <w:r>
              <w:rPr>
                <w:rFonts w:hint="eastAsia" w:ascii="楷体" w:hAnsi="楷体" w:eastAsia="楷体" w:cs="楷体"/>
                <w:sz w:val="22"/>
              </w:rPr>
              <w:t>-</w:t>
            </w:r>
          </w:p>
        </w:tc>
        <w:tc>
          <w:tcPr>
            <w:tcW w:w="1410" w:type="dxa"/>
            <w:tcBorders>
              <w:top w:val="single" w:color="auto" w:sz="4" w:space="0"/>
              <w:left w:val="nil"/>
              <w:bottom w:val="single" w:color="auto" w:sz="4" w:space="0"/>
              <w:right w:val="single" w:color="auto" w:sz="4" w:space="0"/>
            </w:tcBorders>
          </w:tcPr>
          <w:p>
            <w:pPr>
              <w:jc w:val="center"/>
              <w:rPr>
                <w:rFonts w:hint="eastAsia" w:ascii="楷体" w:hAnsi="楷体" w:eastAsia="楷体" w:cs="楷体"/>
                <w:sz w:val="22"/>
                <w:szCs w:val="24"/>
                <w:highlight w:val="yellow"/>
              </w:rPr>
            </w:pPr>
            <w:r>
              <w:rPr>
                <w:rFonts w:hint="eastAsia" w:ascii="楷体" w:hAnsi="楷体" w:eastAsia="楷体" w:cs="楷体"/>
                <w:sz w:val="22"/>
              </w:rPr>
              <w:t>-</w:t>
            </w:r>
          </w:p>
        </w:tc>
        <w:tc>
          <w:tcPr>
            <w:tcW w:w="1245" w:type="dxa"/>
            <w:tcBorders>
              <w:top w:val="single" w:color="auto" w:sz="4" w:space="0"/>
              <w:left w:val="nil"/>
              <w:bottom w:val="single" w:color="auto" w:sz="4" w:space="0"/>
              <w:right w:val="single" w:color="auto" w:sz="4" w:space="0"/>
            </w:tcBorders>
          </w:tcPr>
          <w:p>
            <w:pPr>
              <w:jc w:val="center"/>
              <w:rPr>
                <w:rFonts w:hint="eastAsia" w:ascii="楷体" w:hAnsi="楷体" w:eastAsia="楷体" w:cs="楷体"/>
                <w:sz w:val="22"/>
                <w:szCs w:val="24"/>
                <w:highlight w:val="yellow"/>
              </w:rPr>
            </w:pPr>
            <w:r>
              <w:rPr>
                <w:rFonts w:hint="eastAsia" w:ascii="楷体" w:hAnsi="楷体" w:eastAsia="楷体" w:cs="楷体"/>
                <w:sz w:val="22"/>
              </w:rPr>
              <w:t>-</w:t>
            </w:r>
          </w:p>
        </w:tc>
        <w:tc>
          <w:tcPr>
            <w:tcW w:w="1485" w:type="dxa"/>
            <w:tcBorders>
              <w:top w:val="single" w:color="auto" w:sz="4" w:space="0"/>
              <w:left w:val="nil"/>
              <w:bottom w:val="single" w:color="auto" w:sz="4" w:space="0"/>
              <w:right w:val="single" w:color="auto" w:sz="4" w:space="0"/>
            </w:tcBorders>
          </w:tcPr>
          <w:p>
            <w:pPr>
              <w:jc w:val="center"/>
              <w:rPr>
                <w:rFonts w:hint="eastAsia" w:ascii="楷体" w:hAnsi="楷体" w:eastAsia="楷体" w:cs="楷体"/>
                <w:sz w:val="22"/>
                <w:szCs w:val="24"/>
                <w:highlight w:val="yellow"/>
              </w:rPr>
            </w:pPr>
            <w:r>
              <w:rPr>
                <w:rFonts w:hint="eastAsia" w:ascii="楷体" w:hAnsi="楷体" w:eastAsia="楷体" w:cs="楷体"/>
                <w:sz w:val="22"/>
              </w:rPr>
              <w:t>-</w:t>
            </w:r>
          </w:p>
        </w:tc>
        <w:tc>
          <w:tcPr>
            <w:tcW w:w="1335" w:type="dxa"/>
            <w:tcBorders>
              <w:top w:val="single" w:color="auto" w:sz="4" w:space="0"/>
              <w:left w:val="nil"/>
              <w:bottom w:val="single" w:color="auto" w:sz="4" w:space="0"/>
              <w:right w:val="single" w:color="auto" w:sz="4" w:space="0"/>
            </w:tcBorders>
          </w:tcPr>
          <w:p>
            <w:pPr>
              <w:jc w:val="center"/>
              <w:rPr>
                <w:rFonts w:hint="eastAsia" w:ascii="楷体" w:hAnsi="楷体" w:eastAsia="楷体" w:cs="楷体"/>
                <w:sz w:val="22"/>
                <w:szCs w:val="24"/>
              </w:rPr>
            </w:pPr>
            <w:r>
              <w:rPr>
                <w:rFonts w:hint="eastAsia" w:ascii="楷体" w:hAnsi="楷体" w:eastAsia="楷体" w:cs="楷体"/>
                <w:sz w:val="22"/>
              </w:rPr>
              <w:t>-</w:t>
            </w:r>
          </w:p>
        </w:tc>
        <w:tc>
          <w:tcPr>
            <w:tcW w:w="1080" w:type="dxa"/>
            <w:tcBorders>
              <w:top w:val="single" w:color="auto" w:sz="4" w:space="0"/>
              <w:left w:val="nil"/>
              <w:bottom w:val="single" w:color="auto" w:sz="4" w:space="0"/>
              <w:right w:val="single" w:color="auto" w:sz="4" w:space="0"/>
            </w:tcBorders>
          </w:tcPr>
          <w:p>
            <w:pPr>
              <w:jc w:val="center"/>
              <w:rPr>
                <w:rFonts w:hint="eastAsia" w:ascii="楷体" w:hAnsi="楷体" w:eastAsia="楷体" w:cs="楷体"/>
                <w:sz w:val="22"/>
                <w:szCs w:val="24"/>
              </w:rPr>
            </w:pPr>
            <w:r>
              <w:rPr>
                <w:rFonts w:hint="eastAsia" w:ascii="楷体" w:hAnsi="楷体" w:eastAsia="楷体" w:cs="楷体"/>
                <w:sz w:val="22"/>
              </w:rPr>
              <w:t>-</w:t>
            </w:r>
          </w:p>
        </w:tc>
        <w:tc>
          <w:tcPr>
            <w:tcW w:w="855" w:type="dxa"/>
            <w:tcBorders>
              <w:top w:val="single" w:color="auto" w:sz="4" w:space="0"/>
              <w:left w:val="nil"/>
              <w:bottom w:val="single" w:color="auto" w:sz="4" w:space="0"/>
              <w:right w:val="single" w:color="auto" w:sz="4" w:space="0"/>
            </w:tcBorders>
          </w:tcPr>
          <w:p>
            <w:pPr>
              <w:jc w:val="center"/>
              <w:rPr>
                <w:rFonts w:hint="eastAsia" w:ascii="楷体" w:hAnsi="楷体" w:eastAsia="楷体" w:cs="楷体"/>
                <w:sz w:val="22"/>
                <w:szCs w:val="24"/>
              </w:rPr>
            </w:pPr>
            <w:r>
              <w:rPr>
                <w:rFonts w:hint="eastAsia" w:ascii="楷体" w:hAnsi="楷体" w:eastAsia="楷体" w:cs="楷体"/>
                <w:sz w:val="22"/>
              </w:rPr>
              <w:t>-</w:t>
            </w:r>
          </w:p>
        </w:tc>
      </w:tr>
    </w:tbl>
    <w:p>
      <w:pPr>
        <w:pStyle w:val="14"/>
        <w:rPr>
          <w:rFonts w:hint="eastAsia" w:ascii="楷体" w:hAnsi="楷体" w:eastAsia="楷体" w:cs="楷体"/>
        </w:rPr>
      </w:pPr>
    </w:p>
    <w:p>
      <w:pPr>
        <w:spacing w:line="320" w:lineRule="exact"/>
        <w:ind w:firstLine="220" w:firstLineChars="100"/>
        <w:rPr>
          <w:rFonts w:hint="eastAsia" w:ascii="楷体" w:hAnsi="楷体" w:eastAsia="楷体" w:cs="楷体"/>
        </w:rPr>
      </w:pPr>
      <w:r>
        <w:rPr>
          <w:rFonts w:hint="eastAsia" w:ascii="楷体" w:hAnsi="楷体" w:eastAsia="楷体" w:cs="楷体"/>
          <w:sz w:val="22"/>
          <w:szCs w:val="24"/>
        </w:rPr>
        <w:t>2）融资客户情况</w:t>
      </w:r>
    </w:p>
    <w:tbl>
      <w:tblPr>
        <w:tblStyle w:val="10"/>
        <w:tblW w:w="882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12"/>
        <w:gridCol w:w="1399"/>
        <w:gridCol w:w="1263"/>
        <w:gridCol w:w="474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9" w:hRule="atLeast"/>
        </w:trPr>
        <w:tc>
          <w:tcPr>
            <w:tcW w:w="1412" w:type="dxa"/>
            <w:tcBorders>
              <w:top w:val="single" w:color="auto" w:sz="4" w:space="0"/>
              <w:left w:val="single" w:color="auto" w:sz="4" w:space="0"/>
              <w:bottom w:val="single" w:color="auto" w:sz="4" w:space="0"/>
              <w:right w:val="single" w:color="auto" w:sz="4" w:space="0"/>
            </w:tcBorders>
          </w:tcPr>
          <w:p>
            <w:pPr>
              <w:pStyle w:val="14"/>
              <w:jc w:val="center"/>
              <w:rPr>
                <w:rFonts w:hint="eastAsia" w:ascii="楷体" w:hAnsi="楷体" w:eastAsia="楷体" w:cs="楷体"/>
                <w:sz w:val="24"/>
                <w:szCs w:val="24"/>
              </w:rPr>
            </w:pPr>
            <w:r>
              <w:rPr>
                <w:rFonts w:hint="eastAsia" w:ascii="楷体" w:hAnsi="楷体" w:eastAsia="楷体" w:cs="楷体"/>
                <w:sz w:val="24"/>
                <w:szCs w:val="24"/>
              </w:rPr>
              <w:t>融资客户</w:t>
            </w:r>
          </w:p>
        </w:tc>
        <w:tc>
          <w:tcPr>
            <w:tcW w:w="1399" w:type="dxa"/>
            <w:tcBorders>
              <w:top w:val="single" w:color="auto" w:sz="4" w:space="0"/>
              <w:left w:val="single" w:color="auto" w:sz="4" w:space="0"/>
              <w:bottom w:val="single" w:color="auto" w:sz="4" w:space="0"/>
              <w:right w:val="single" w:color="auto" w:sz="4" w:space="0"/>
            </w:tcBorders>
          </w:tcPr>
          <w:p>
            <w:pPr>
              <w:pStyle w:val="14"/>
              <w:jc w:val="center"/>
              <w:rPr>
                <w:rFonts w:hint="eastAsia" w:ascii="楷体" w:hAnsi="楷体" w:eastAsia="楷体" w:cs="楷体"/>
                <w:sz w:val="24"/>
                <w:szCs w:val="24"/>
              </w:rPr>
            </w:pPr>
            <w:r>
              <w:rPr>
                <w:rFonts w:hint="eastAsia" w:ascii="楷体" w:hAnsi="楷体" w:eastAsia="楷体" w:cs="楷体"/>
                <w:sz w:val="24"/>
                <w:szCs w:val="24"/>
              </w:rPr>
              <w:t>成立日期</w:t>
            </w:r>
          </w:p>
        </w:tc>
        <w:tc>
          <w:tcPr>
            <w:tcW w:w="1263" w:type="dxa"/>
            <w:tcBorders>
              <w:top w:val="single" w:color="auto" w:sz="4" w:space="0"/>
              <w:left w:val="single" w:color="auto" w:sz="4" w:space="0"/>
              <w:bottom w:val="single" w:color="auto" w:sz="4" w:space="0"/>
              <w:right w:val="single" w:color="auto" w:sz="4" w:space="0"/>
            </w:tcBorders>
          </w:tcPr>
          <w:p>
            <w:pPr>
              <w:pStyle w:val="14"/>
              <w:jc w:val="center"/>
              <w:rPr>
                <w:rFonts w:hint="eastAsia" w:ascii="楷体" w:hAnsi="楷体" w:eastAsia="楷体" w:cs="楷体"/>
                <w:sz w:val="24"/>
                <w:szCs w:val="24"/>
              </w:rPr>
            </w:pPr>
            <w:r>
              <w:rPr>
                <w:rFonts w:hint="eastAsia" w:ascii="楷体" w:hAnsi="楷体" w:eastAsia="楷体" w:cs="楷体"/>
                <w:sz w:val="24"/>
                <w:szCs w:val="24"/>
              </w:rPr>
              <w:t>注册资本（元）</w:t>
            </w:r>
          </w:p>
        </w:tc>
        <w:tc>
          <w:tcPr>
            <w:tcW w:w="4746" w:type="dxa"/>
            <w:tcBorders>
              <w:top w:val="single" w:color="auto" w:sz="4" w:space="0"/>
              <w:left w:val="single" w:color="auto" w:sz="4" w:space="0"/>
              <w:bottom w:val="single" w:color="auto" w:sz="4" w:space="0"/>
              <w:right w:val="single" w:color="auto" w:sz="4" w:space="0"/>
            </w:tcBorders>
          </w:tcPr>
          <w:p>
            <w:pPr>
              <w:pStyle w:val="14"/>
              <w:jc w:val="center"/>
              <w:rPr>
                <w:rFonts w:hint="eastAsia" w:ascii="楷体" w:hAnsi="楷体" w:eastAsia="楷体" w:cs="楷体"/>
                <w:sz w:val="24"/>
                <w:szCs w:val="24"/>
              </w:rPr>
            </w:pPr>
            <w:r>
              <w:rPr>
                <w:rFonts w:hint="eastAsia" w:ascii="楷体" w:hAnsi="楷体" w:eastAsia="楷体" w:cs="楷体"/>
                <w:sz w:val="24"/>
                <w:szCs w:val="24"/>
              </w:rPr>
              <w:t>经营范围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12" w:type="dxa"/>
            <w:tcBorders>
              <w:top w:val="single" w:color="auto" w:sz="4" w:space="0"/>
              <w:left w:val="single" w:color="auto" w:sz="4" w:space="0"/>
              <w:bottom w:val="single" w:color="auto" w:sz="4" w:space="0"/>
              <w:right w:val="single" w:color="auto" w:sz="4" w:space="0"/>
            </w:tcBorders>
          </w:tcPr>
          <w:p>
            <w:pPr>
              <w:jc w:val="center"/>
              <w:rPr>
                <w:rFonts w:hint="eastAsia" w:ascii="楷体" w:hAnsi="楷体" w:eastAsia="楷体" w:cs="楷体"/>
                <w:sz w:val="22"/>
                <w:szCs w:val="24"/>
              </w:rPr>
            </w:pPr>
            <w:r>
              <w:rPr>
                <w:rFonts w:hint="eastAsia" w:ascii="楷体" w:hAnsi="楷体" w:eastAsia="楷体" w:cs="楷体"/>
                <w:sz w:val="22"/>
              </w:rPr>
              <w:t>-</w:t>
            </w:r>
          </w:p>
        </w:tc>
        <w:tc>
          <w:tcPr>
            <w:tcW w:w="1399" w:type="dxa"/>
            <w:tcBorders>
              <w:top w:val="single" w:color="auto" w:sz="4" w:space="0"/>
              <w:left w:val="single" w:color="auto" w:sz="4" w:space="0"/>
              <w:bottom w:val="single" w:color="auto" w:sz="4" w:space="0"/>
              <w:right w:val="single" w:color="auto" w:sz="4" w:space="0"/>
            </w:tcBorders>
          </w:tcPr>
          <w:p>
            <w:pPr>
              <w:jc w:val="center"/>
              <w:rPr>
                <w:rFonts w:hint="eastAsia" w:ascii="楷体" w:hAnsi="楷体" w:eastAsia="楷体" w:cs="楷体"/>
                <w:sz w:val="22"/>
                <w:szCs w:val="24"/>
              </w:rPr>
            </w:pPr>
            <w:r>
              <w:rPr>
                <w:rFonts w:hint="eastAsia" w:ascii="楷体" w:hAnsi="楷体" w:eastAsia="楷体" w:cs="楷体"/>
                <w:sz w:val="22"/>
              </w:rPr>
              <w:t>-</w:t>
            </w:r>
          </w:p>
        </w:tc>
        <w:tc>
          <w:tcPr>
            <w:tcW w:w="1263" w:type="dxa"/>
            <w:tcBorders>
              <w:top w:val="single" w:color="auto" w:sz="4" w:space="0"/>
              <w:left w:val="single" w:color="auto" w:sz="4" w:space="0"/>
              <w:bottom w:val="single" w:color="auto" w:sz="4" w:space="0"/>
              <w:right w:val="single" w:color="auto" w:sz="4" w:space="0"/>
            </w:tcBorders>
          </w:tcPr>
          <w:p>
            <w:pPr>
              <w:jc w:val="center"/>
              <w:rPr>
                <w:rFonts w:hint="eastAsia" w:ascii="楷体" w:hAnsi="楷体" w:eastAsia="楷体" w:cs="楷体"/>
                <w:sz w:val="22"/>
                <w:szCs w:val="24"/>
              </w:rPr>
            </w:pPr>
            <w:r>
              <w:rPr>
                <w:rFonts w:hint="eastAsia" w:ascii="楷体" w:hAnsi="楷体" w:eastAsia="楷体" w:cs="楷体"/>
                <w:sz w:val="22"/>
              </w:rPr>
              <w:t>-</w:t>
            </w:r>
          </w:p>
        </w:tc>
        <w:tc>
          <w:tcPr>
            <w:tcW w:w="4746" w:type="dxa"/>
            <w:tcBorders>
              <w:top w:val="single" w:color="auto" w:sz="4" w:space="0"/>
              <w:left w:val="single" w:color="auto" w:sz="4" w:space="0"/>
              <w:bottom w:val="single" w:color="auto" w:sz="4" w:space="0"/>
              <w:right w:val="single" w:color="auto" w:sz="4" w:space="0"/>
            </w:tcBorders>
          </w:tcPr>
          <w:p>
            <w:pPr>
              <w:jc w:val="center"/>
              <w:rPr>
                <w:rFonts w:hint="eastAsia" w:ascii="楷体" w:hAnsi="楷体" w:eastAsia="楷体" w:cs="楷体"/>
                <w:sz w:val="22"/>
                <w:szCs w:val="24"/>
              </w:rPr>
            </w:pPr>
            <w:r>
              <w:rPr>
                <w:rFonts w:hint="eastAsia" w:ascii="楷体" w:hAnsi="楷体" w:eastAsia="楷体" w:cs="楷体"/>
                <w:sz w:val="22"/>
              </w:rPr>
              <w:t>-</w:t>
            </w:r>
          </w:p>
        </w:tc>
      </w:tr>
    </w:tbl>
    <w:p>
      <w:pPr>
        <w:pStyle w:val="14"/>
        <w:rPr>
          <w:rFonts w:hint="eastAsia" w:ascii="楷体" w:hAnsi="楷体" w:eastAsia="楷体" w:cs="楷体"/>
        </w:rPr>
      </w:pPr>
    </w:p>
    <w:p>
      <w:pPr>
        <w:pStyle w:val="2"/>
        <w:rPr>
          <w:rFonts w:hint="eastAsia" w:ascii="楷体" w:hAnsi="楷体" w:eastAsia="楷体" w:cs="楷体"/>
          <w:b w:val="0"/>
          <w:sz w:val="21"/>
        </w:rPr>
      </w:pPr>
      <w:r>
        <w:rPr>
          <w:rFonts w:hint="eastAsia" w:ascii="楷体" w:hAnsi="楷体" w:eastAsia="楷体" w:cs="楷体"/>
          <w:b w:val="0"/>
          <w:sz w:val="21"/>
        </w:rPr>
        <w:t>（四）关联交易情况</w:t>
      </w:r>
    </w:p>
    <w:p>
      <w:pPr>
        <w:spacing w:line="320" w:lineRule="exact"/>
        <w:ind w:firstLine="220" w:firstLineChars="100"/>
        <w:rPr>
          <w:rFonts w:hint="eastAsia" w:ascii="楷体" w:hAnsi="楷体" w:eastAsia="楷体" w:cs="楷体"/>
          <w:sz w:val="22"/>
          <w:szCs w:val="24"/>
        </w:rPr>
      </w:pPr>
      <w:r>
        <w:rPr>
          <w:rFonts w:hint="eastAsia" w:ascii="楷体" w:hAnsi="楷体" w:eastAsia="楷体" w:cs="楷体"/>
          <w:sz w:val="22"/>
          <w:szCs w:val="24"/>
        </w:rPr>
        <w:t>1）报告期内投资于关联方发行的证券或其他金融工具</w:t>
      </w:r>
    </w:p>
    <w:tbl>
      <w:tblPr>
        <w:tblStyle w:val="9"/>
        <w:tblW w:w="8621" w:type="dxa"/>
        <w:tblInd w:w="0" w:type="dxa"/>
        <w:tblLayout w:type="fixed"/>
        <w:tblCellMar>
          <w:top w:w="0" w:type="dxa"/>
          <w:left w:w="108" w:type="dxa"/>
          <w:bottom w:w="0" w:type="dxa"/>
          <w:right w:w="108" w:type="dxa"/>
        </w:tblCellMar>
      </w:tblPr>
      <w:tblGrid>
        <w:gridCol w:w="1465"/>
        <w:gridCol w:w="1440"/>
        <w:gridCol w:w="1425"/>
        <w:gridCol w:w="2115"/>
        <w:gridCol w:w="2176"/>
      </w:tblGrid>
      <w:tr>
        <w:tblPrEx>
          <w:tblCellMar>
            <w:top w:w="0" w:type="dxa"/>
            <w:left w:w="108" w:type="dxa"/>
            <w:bottom w:w="0" w:type="dxa"/>
            <w:right w:w="108" w:type="dxa"/>
          </w:tblCellMar>
        </w:tblPrEx>
        <w:trPr>
          <w:trHeight w:val="283" w:hRule="atLeast"/>
        </w:trPr>
        <w:tc>
          <w:tcPr>
            <w:tcW w:w="146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关联方名称</w:t>
            </w:r>
          </w:p>
        </w:tc>
        <w:tc>
          <w:tcPr>
            <w:tcW w:w="144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证券代码</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证券简称</w:t>
            </w:r>
          </w:p>
        </w:tc>
        <w:tc>
          <w:tcPr>
            <w:tcW w:w="211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报告期投资的证券数量（张）</w:t>
            </w:r>
          </w:p>
        </w:tc>
        <w:tc>
          <w:tcPr>
            <w:tcW w:w="2176"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报告期投资的证券金额（元）</w:t>
            </w:r>
          </w:p>
        </w:tc>
      </w:tr>
      <w:tr>
        <w:tblPrEx>
          <w:tblCellMar>
            <w:top w:w="0" w:type="dxa"/>
            <w:left w:w="108" w:type="dxa"/>
            <w:bottom w:w="0" w:type="dxa"/>
            <w:right w:w="108" w:type="dxa"/>
          </w:tblCellMar>
        </w:tblPrEx>
        <w:trPr>
          <w:trHeight w:val="283" w:hRule="atLeast"/>
        </w:trPr>
        <w:tc>
          <w:tcPr>
            <w:tcW w:w="1465"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144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1425"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2115"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2176"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r>
    </w:tbl>
    <w:p>
      <w:pPr>
        <w:rPr>
          <w:rFonts w:hint="eastAsia" w:ascii="楷体" w:hAnsi="楷体" w:eastAsia="楷体" w:cs="楷体"/>
        </w:rPr>
      </w:pPr>
    </w:p>
    <w:p>
      <w:pPr>
        <w:ind w:firstLine="220" w:firstLineChars="100"/>
        <w:rPr>
          <w:rFonts w:hint="eastAsia" w:ascii="楷体" w:hAnsi="楷体" w:eastAsia="楷体" w:cs="楷体"/>
        </w:rPr>
      </w:pPr>
      <w:r>
        <w:rPr>
          <w:rFonts w:hint="eastAsia" w:ascii="楷体" w:hAnsi="楷体" w:eastAsia="楷体" w:cs="楷体"/>
          <w:sz w:val="22"/>
          <w:szCs w:val="24"/>
        </w:rPr>
        <w:t>2）报告期内投资于关联方承销的证券或其他金融工具</w:t>
      </w:r>
    </w:p>
    <w:tbl>
      <w:tblPr>
        <w:tblStyle w:val="9"/>
        <w:tblW w:w="8621" w:type="dxa"/>
        <w:tblInd w:w="0" w:type="dxa"/>
        <w:tblLayout w:type="fixed"/>
        <w:tblCellMar>
          <w:top w:w="0" w:type="dxa"/>
          <w:left w:w="108" w:type="dxa"/>
          <w:bottom w:w="0" w:type="dxa"/>
          <w:right w:w="108" w:type="dxa"/>
        </w:tblCellMar>
      </w:tblPr>
      <w:tblGrid>
        <w:gridCol w:w="1480"/>
        <w:gridCol w:w="1440"/>
        <w:gridCol w:w="1425"/>
        <w:gridCol w:w="2085"/>
        <w:gridCol w:w="2191"/>
      </w:tblGrid>
      <w:tr>
        <w:tblPrEx>
          <w:tblCellMar>
            <w:top w:w="0" w:type="dxa"/>
            <w:left w:w="108" w:type="dxa"/>
            <w:bottom w:w="0" w:type="dxa"/>
            <w:right w:w="108" w:type="dxa"/>
          </w:tblCellMar>
        </w:tblPrEx>
        <w:trPr>
          <w:trHeight w:val="283" w:hRule="atLeast"/>
        </w:trPr>
        <w:tc>
          <w:tcPr>
            <w:tcW w:w="148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关联方名称</w:t>
            </w:r>
          </w:p>
        </w:tc>
        <w:tc>
          <w:tcPr>
            <w:tcW w:w="144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证券代码</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证券简称</w:t>
            </w:r>
          </w:p>
        </w:tc>
        <w:tc>
          <w:tcPr>
            <w:tcW w:w="208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报告期投资的证券数量（张）</w:t>
            </w:r>
          </w:p>
        </w:tc>
        <w:tc>
          <w:tcPr>
            <w:tcW w:w="2191"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报告期投资的证券金额（元）</w:t>
            </w:r>
          </w:p>
        </w:tc>
      </w:tr>
      <w:tr>
        <w:tblPrEx>
          <w:tblCellMar>
            <w:top w:w="0" w:type="dxa"/>
            <w:left w:w="108" w:type="dxa"/>
            <w:bottom w:w="0" w:type="dxa"/>
            <w:right w:w="108" w:type="dxa"/>
          </w:tblCellMar>
        </w:tblPrEx>
        <w:trPr>
          <w:trHeight w:val="283" w:hRule="atLeast"/>
        </w:trPr>
        <w:tc>
          <w:tcPr>
            <w:tcW w:w="148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144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1425"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2085"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2191"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r>
    </w:tbl>
    <w:p>
      <w:pPr>
        <w:rPr>
          <w:rFonts w:hint="eastAsia" w:ascii="楷体" w:hAnsi="楷体" w:eastAsia="楷体" w:cs="楷体"/>
        </w:rPr>
      </w:pPr>
    </w:p>
    <w:p>
      <w:pPr>
        <w:numPr>
          <w:ilvl w:val="0"/>
          <w:numId w:val="2"/>
        </w:numPr>
        <w:ind w:firstLine="220" w:firstLineChars="100"/>
        <w:rPr>
          <w:rFonts w:hint="eastAsia" w:ascii="楷体" w:hAnsi="楷体" w:eastAsia="楷体" w:cs="楷体"/>
          <w:sz w:val="22"/>
          <w:szCs w:val="24"/>
        </w:rPr>
      </w:pPr>
      <w:r>
        <w:rPr>
          <w:rFonts w:hint="eastAsia" w:ascii="楷体" w:hAnsi="楷体" w:eastAsia="楷体" w:cs="楷体"/>
          <w:sz w:val="22"/>
          <w:szCs w:val="24"/>
        </w:rPr>
        <w:t>报告期内投资于关联方管理的资管产品或其他金融工具</w:t>
      </w:r>
    </w:p>
    <w:tbl>
      <w:tblPr>
        <w:tblStyle w:val="9"/>
        <w:tblW w:w="8621" w:type="dxa"/>
        <w:tblInd w:w="0" w:type="dxa"/>
        <w:tblLayout w:type="fixed"/>
        <w:tblCellMar>
          <w:top w:w="0" w:type="dxa"/>
          <w:left w:w="108" w:type="dxa"/>
          <w:bottom w:w="0" w:type="dxa"/>
          <w:right w:w="108" w:type="dxa"/>
        </w:tblCellMar>
      </w:tblPr>
      <w:tblGrid>
        <w:gridCol w:w="1480"/>
        <w:gridCol w:w="1440"/>
        <w:gridCol w:w="1395"/>
        <w:gridCol w:w="2130"/>
        <w:gridCol w:w="2176"/>
      </w:tblGrid>
      <w:tr>
        <w:tblPrEx>
          <w:tblCellMar>
            <w:top w:w="0" w:type="dxa"/>
            <w:left w:w="108" w:type="dxa"/>
            <w:bottom w:w="0" w:type="dxa"/>
            <w:right w:w="108" w:type="dxa"/>
          </w:tblCellMar>
        </w:tblPrEx>
        <w:trPr>
          <w:trHeight w:val="283" w:hRule="atLeast"/>
        </w:trPr>
        <w:tc>
          <w:tcPr>
            <w:tcW w:w="148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关联方名称</w:t>
            </w:r>
          </w:p>
        </w:tc>
        <w:tc>
          <w:tcPr>
            <w:tcW w:w="144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金融工具代码</w:t>
            </w:r>
          </w:p>
        </w:tc>
        <w:tc>
          <w:tcPr>
            <w:tcW w:w="139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金融工具名称</w:t>
            </w:r>
          </w:p>
        </w:tc>
        <w:tc>
          <w:tcPr>
            <w:tcW w:w="213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报告期投资的证券数量</w:t>
            </w:r>
          </w:p>
        </w:tc>
        <w:tc>
          <w:tcPr>
            <w:tcW w:w="2176"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报告期投资的证券金额（元）</w:t>
            </w:r>
          </w:p>
        </w:tc>
      </w:tr>
      <w:tr>
        <w:tblPrEx>
          <w:tblCellMar>
            <w:top w:w="0" w:type="dxa"/>
            <w:left w:w="108" w:type="dxa"/>
            <w:bottom w:w="0" w:type="dxa"/>
            <w:right w:w="108" w:type="dxa"/>
          </w:tblCellMar>
        </w:tblPrEx>
        <w:trPr>
          <w:trHeight w:val="283" w:hRule="atLeast"/>
        </w:trPr>
        <w:tc>
          <w:tcPr>
            <w:tcW w:w="148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江苏省国际信托有限责任公司</w:t>
            </w:r>
          </w:p>
        </w:tc>
        <w:tc>
          <w:tcPr>
            <w:tcW w:w="144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NETA20201230000002</w:t>
            </w:r>
          </w:p>
        </w:tc>
        <w:tc>
          <w:tcPr>
            <w:tcW w:w="1395"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江苏信托鼎泰1号集合资金信托计划</w:t>
            </w:r>
          </w:p>
        </w:tc>
        <w:tc>
          <w:tcPr>
            <w:tcW w:w="213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244,779,266.22</w:t>
            </w:r>
          </w:p>
        </w:tc>
        <w:tc>
          <w:tcPr>
            <w:tcW w:w="2176"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300,000,000.00</w:t>
            </w:r>
          </w:p>
        </w:tc>
      </w:tr>
    </w:tbl>
    <w:p>
      <w:pPr>
        <w:rPr>
          <w:rFonts w:hint="eastAsia" w:ascii="楷体" w:hAnsi="楷体" w:eastAsia="楷体" w:cs="楷体"/>
          <w:sz w:val="22"/>
          <w:szCs w:val="24"/>
        </w:rPr>
      </w:pPr>
    </w:p>
    <w:p>
      <w:pPr>
        <w:numPr>
          <w:ilvl w:val="0"/>
          <w:numId w:val="2"/>
        </w:numPr>
        <w:ind w:firstLine="220" w:firstLineChars="100"/>
        <w:rPr>
          <w:rFonts w:hint="eastAsia" w:ascii="楷体" w:hAnsi="楷体" w:eastAsia="楷体" w:cs="楷体"/>
          <w:sz w:val="22"/>
          <w:szCs w:val="24"/>
        </w:rPr>
      </w:pPr>
      <w:r>
        <w:rPr>
          <w:rFonts w:hint="eastAsia" w:ascii="楷体" w:hAnsi="楷体" w:eastAsia="楷体" w:cs="楷体"/>
          <w:sz w:val="22"/>
          <w:szCs w:val="24"/>
        </w:rPr>
        <w:t>报告期内的其他关联交易</w:t>
      </w:r>
    </w:p>
    <w:tbl>
      <w:tblPr>
        <w:tblStyle w:val="9"/>
        <w:tblW w:w="8621" w:type="dxa"/>
        <w:tblInd w:w="0" w:type="dxa"/>
        <w:tblLayout w:type="fixed"/>
        <w:tblCellMar>
          <w:top w:w="0" w:type="dxa"/>
          <w:left w:w="108" w:type="dxa"/>
          <w:bottom w:w="0" w:type="dxa"/>
          <w:right w:w="108" w:type="dxa"/>
        </w:tblCellMar>
      </w:tblPr>
      <w:tblGrid>
        <w:gridCol w:w="1930"/>
        <w:gridCol w:w="3540"/>
        <w:gridCol w:w="3151"/>
      </w:tblGrid>
      <w:tr>
        <w:tblPrEx>
          <w:tblCellMar>
            <w:top w:w="0" w:type="dxa"/>
            <w:left w:w="108" w:type="dxa"/>
            <w:bottom w:w="0" w:type="dxa"/>
            <w:right w:w="108" w:type="dxa"/>
          </w:tblCellMar>
        </w:tblPrEx>
        <w:trPr>
          <w:trHeight w:val="283" w:hRule="atLeast"/>
        </w:trPr>
        <w:tc>
          <w:tcPr>
            <w:tcW w:w="193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交易类型</w:t>
            </w:r>
          </w:p>
        </w:tc>
        <w:tc>
          <w:tcPr>
            <w:tcW w:w="354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关联方名称</w:t>
            </w:r>
          </w:p>
        </w:tc>
        <w:tc>
          <w:tcPr>
            <w:tcW w:w="3151"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关联交易金额（元）</w:t>
            </w:r>
          </w:p>
        </w:tc>
      </w:tr>
      <w:tr>
        <w:tblPrEx>
          <w:tblCellMar>
            <w:top w:w="0" w:type="dxa"/>
            <w:left w:w="108" w:type="dxa"/>
            <w:bottom w:w="0" w:type="dxa"/>
            <w:right w:w="108" w:type="dxa"/>
          </w:tblCellMar>
        </w:tblPrEx>
        <w:trPr>
          <w:trHeight w:val="283" w:hRule="atLeast"/>
        </w:trPr>
        <w:tc>
          <w:tcPr>
            <w:tcW w:w="193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代销费</w:t>
            </w:r>
          </w:p>
        </w:tc>
        <w:tc>
          <w:tcPr>
            <w:tcW w:w="354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江苏银行股份有限公司</w:t>
            </w:r>
          </w:p>
        </w:tc>
        <w:tc>
          <w:tcPr>
            <w:tcW w:w="3151"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184,950.90</w:t>
            </w:r>
          </w:p>
        </w:tc>
      </w:tr>
      <w:tr>
        <w:tblPrEx>
          <w:tblCellMar>
            <w:top w:w="0" w:type="dxa"/>
            <w:left w:w="108" w:type="dxa"/>
            <w:bottom w:w="0" w:type="dxa"/>
            <w:right w:w="108" w:type="dxa"/>
          </w:tblCellMar>
        </w:tblPrEx>
        <w:trPr>
          <w:trHeight w:val="283" w:hRule="atLeast"/>
        </w:trPr>
        <w:tc>
          <w:tcPr>
            <w:tcW w:w="1930"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托管费</w:t>
            </w:r>
          </w:p>
        </w:tc>
        <w:tc>
          <w:tcPr>
            <w:tcW w:w="3540"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江苏银行股份有限公司</w:t>
            </w:r>
          </w:p>
        </w:tc>
        <w:tc>
          <w:tcPr>
            <w:tcW w:w="3151"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65,533.66</w:t>
            </w:r>
          </w:p>
        </w:tc>
      </w:tr>
    </w:tbl>
    <w:p>
      <w:pPr>
        <w:pStyle w:val="14"/>
        <w:rPr>
          <w:rFonts w:hint="eastAsia" w:ascii="楷体" w:hAnsi="楷体" w:eastAsia="楷体" w:cs="楷体"/>
          <w:sz w:val="21"/>
          <w:szCs w:val="21"/>
        </w:rPr>
      </w:pPr>
      <w:r>
        <w:rPr>
          <w:rFonts w:hint="eastAsia" w:ascii="楷体" w:hAnsi="楷体" w:eastAsia="楷体" w:cs="楷体"/>
          <w:sz w:val="21"/>
          <w:szCs w:val="21"/>
        </w:rPr>
        <w:t>注：本报告中理财产品托管费、代销费、直销费均基于产品实际支付金额进行统计。</w:t>
      </w:r>
    </w:p>
    <w:p>
      <w:pPr>
        <w:pStyle w:val="14"/>
        <w:rPr>
          <w:rFonts w:hint="eastAsia" w:ascii="楷体" w:hAnsi="楷体" w:eastAsia="楷体" w:cs="楷体"/>
        </w:rPr>
      </w:pPr>
    </w:p>
    <w:p>
      <w:pPr>
        <w:rPr>
          <w:rFonts w:hint="eastAsia" w:ascii="楷体" w:hAnsi="楷体" w:eastAsia="楷体" w:cs="楷体"/>
          <w:sz w:val="22"/>
          <w:szCs w:val="24"/>
        </w:rPr>
      </w:pPr>
      <w:r>
        <w:rPr>
          <w:rFonts w:hint="eastAsia" w:ascii="楷体" w:hAnsi="楷体" w:eastAsia="楷体" w:cs="楷体"/>
          <w:sz w:val="22"/>
          <w:szCs w:val="24"/>
        </w:rPr>
        <w:t>（五）自有资金投资情况</w:t>
      </w:r>
    </w:p>
    <w:tbl>
      <w:tblPr>
        <w:tblStyle w:val="9"/>
        <w:tblW w:w="7299" w:type="dxa"/>
        <w:tblInd w:w="0" w:type="dxa"/>
        <w:tblLayout w:type="fixed"/>
        <w:tblCellMar>
          <w:top w:w="0" w:type="dxa"/>
          <w:left w:w="108" w:type="dxa"/>
          <w:bottom w:w="0" w:type="dxa"/>
          <w:right w:w="108" w:type="dxa"/>
        </w:tblCellMar>
      </w:tblPr>
      <w:tblGrid>
        <w:gridCol w:w="2796"/>
        <w:gridCol w:w="4503"/>
      </w:tblGrid>
      <w:tr>
        <w:tblPrEx>
          <w:tblCellMar>
            <w:top w:w="0" w:type="dxa"/>
            <w:left w:w="108" w:type="dxa"/>
            <w:bottom w:w="0" w:type="dxa"/>
            <w:right w:w="108" w:type="dxa"/>
          </w:tblCellMar>
        </w:tblPrEx>
        <w:trPr>
          <w:trHeight w:val="311" w:hRule="atLeast"/>
        </w:trPr>
        <w:tc>
          <w:tcPr>
            <w:tcW w:w="2796"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产品名称</w:t>
            </w:r>
          </w:p>
        </w:tc>
        <w:tc>
          <w:tcPr>
            <w:tcW w:w="4503"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持有份额（份）</w:t>
            </w:r>
          </w:p>
        </w:tc>
      </w:tr>
      <w:tr>
        <w:tblPrEx>
          <w:tblCellMar>
            <w:top w:w="0" w:type="dxa"/>
            <w:left w:w="108" w:type="dxa"/>
            <w:bottom w:w="0" w:type="dxa"/>
            <w:right w:w="108" w:type="dxa"/>
          </w:tblCellMar>
        </w:tblPrEx>
        <w:trPr>
          <w:trHeight w:val="378" w:hRule="atLeast"/>
        </w:trPr>
        <w:tc>
          <w:tcPr>
            <w:tcW w:w="2796"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4503"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r>
    </w:tbl>
    <w:p>
      <w:pPr>
        <w:ind w:firstLine="420" w:firstLineChars="200"/>
        <w:rPr>
          <w:rFonts w:hint="eastAsia" w:ascii="楷体" w:hAnsi="楷体" w:eastAsia="楷体" w:cs="楷体"/>
          <w:bCs/>
          <w:kern w:val="0"/>
          <w:sz w:val="21"/>
          <w:szCs w:val="21"/>
        </w:rPr>
      </w:pPr>
      <w:r>
        <w:rPr>
          <w:rFonts w:hint="eastAsia" w:ascii="楷体" w:hAnsi="楷体" w:eastAsia="楷体" w:cs="楷体"/>
          <w:bCs/>
          <w:kern w:val="0"/>
          <w:sz w:val="21"/>
          <w:szCs w:val="21"/>
        </w:rPr>
        <w:t>本公司自有资金投资本公司管理的理财产品适用的费率均不优于其他投资者。</w:t>
      </w:r>
    </w:p>
    <w:p>
      <w:pPr>
        <w:ind w:firstLine="560" w:firstLineChars="200"/>
        <w:rPr>
          <w:rFonts w:hint="eastAsia" w:ascii="楷体" w:hAnsi="楷体" w:eastAsia="楷体" w:cs="楷体"/>
          <w:bCs/>
          <w:kern w:val="0"/>
          <w:szCs w:val="21"/>
        </w:rPr>
      </w:pPr>
    </w:p>
    <w:p>
      <w:pPr>
        <w:rPr>
          <w:rFonts w:hint="eastAsia" w:ascii="楷体" w:hAnsi="楷体" w:eastAsia="楷体" w:cs="楷体"/>
          <w:sz w:val="22"/>
          <w:szCs w:val="24"/>
        </w:rPr>
      </w:pPr>
      <w:r>
        <w:rPr>
          <w:rFonts w:hint="eastAsia" w:ascii="楷体" w:hAnsi="楷体" w:eastAsia="楷体" w:cs="楷体"/>
          <w:sz w:val="22"/>
          <w:szCs w:val="24"/>
        </w:rPr>
        <w:t>（六）理财产品份额变动情况</w:t>
      </w:r>
    </w:p>
    <w:tbl>
      <w:tblPr>
        <w:tblStyle w:val="9"/>
        <w:tblW w:w="7305" w:type="dxa"/>
        <w:tblInd w:w="0" w:type="dxa"/>
        <w:tblLayout w:type="fixed"/>
        <w:tblCellMar>
          <w:top w:w="0" w:type="dxa"/>
          <w:left w:w="108" w:type="dxa"/>
          <w:bottom w:w="0" w:type="dxa"/>
          <w:right w:w="108" w:type="dxa"/>
        </w:tblCellMar>
      </w:tblPr>
      <w:tblGrid>
        <w:gridCol w:w="2798"/>
        <w:gridCol w:w="4507"/>
      </w:tblGrid>
      <w:tr>
        <w:tblPrEx>
          <w:tblCellMar>
            <w:top w:w="0" w:type="dxa"/>
            <w:left w:w="108" w:type="dxa"/>
            <w:bottom w:w="0" w:type="dxa"/>
            <w:right w:w="108" w:type="dxa"/>
          </w:tblCellMar>
        </w:tblPrEx>
        <w:trPr>
          <w:trHeight w:val="311" w:hRule="atLeast"/>
        </w:trPr>
        <w:tc>
          <w:tcPr>
            <w:tcW w:w="2798" w:type="dxa"/>
            <w:tcBorders>
              <w:top w:val="single" w:color="000000" w:sz="4" w:space="0"/>
              <w:left w:val="single" w:color="000000" w:sz="4" w:space="0"/>
              <w:bottom w:val="single" w:color="000000" w:sz="4" w:space="0"/>
              <w:right w:val="single" w:color="000000" w:sz="4" w:space="0"/>
            </w:tcBorders>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日期</w:t>
            </w:r>
          </w:p>
        </w:tc>
        <w:tc>
          <w:tcPr>
            <w:tcW w:w="4507" w:type="dxa"/>
            <w:tcBorders>
              <w:top w:val="single" w:color="000000" w:sz="4" w:space="0"/>
              <w:left w:val="single" w:color="000000" w:sz="4" w:space="0"/>
              <w:bottom w:val="single" w:color="000000" w:sz="4" w:space="0"/>
              <w:right w:val="single" w:color="000000" w:sz="4" w:space="0"/>
            </w:tcBorders>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持有份额（份）</w:t>
            </w:r>
          </w:p>
        </w:tc>
      </w:tr>
      <w:tr>
        <w:tblPrEx>
          <w:tblCellMar>
            <w:top w:w="0" w:type="dxa"/>
            <w:left w:w="108" w:type="dxa"/>
            <w:bottom w:w="0" w:type="dxa"/>
            <w:right w:w="108" w:type="dxa"/>
          </w:tblCellMar>
        </w:tblPrEx>
        <w:trPr>
          <w:trHeight w:val="320" w:hRule="atLeast"/>
        </w:trPr>
        <w:tc>
          <w:tcPr>
            <w:tcW w:w="2798" w:type="dxa"/>
            <w:tcBorders>
              <w:top w:val="single" w:color="000000" w:sz="4" w:space="0"/>
              <w:left w:val="single" w:color="000000" w:sz="4" w:space="0"/>
              <w:bottom w:val="single" w:color="000000" w:sz="4" w:space="0"/>
              <w:right w:val="single" w:color="000000" w:sz="4" w:space="0"/>
            </w:tcBorders>
          </w:tcPr>
          <w:p>
            <w:pPr>
              <w:jc w:val="center"/>
              <w:rPr>
                <w:rFonts w:hint="eastAsia" w:ascii="楷体" w:hAnsi="楷体" w:eastAsia="楷体" w:cs="楷体"/>
                <w:sz w:val="22"/>
              </w:rPr>
            </w:pPr>
            <w:r>
              <w:rPr>
                <w:rFonts w:hint="eastAsia" w:ascii="楷体" w:hAnsi="楷体" w:eastAsia="楷体" w:cs="楷体"/>
                <w:sz w:val="22"/>
              </w:rPr>
              <w:t>2025-06-30</w:t>
            </w:r>
          </w:p>
        </w:tc>
        <w:tc>
          <w:tcPr>
            <w:tcW w:w="4507" w:type="dxa"/>
            <w:tcBorders>
              <w:top w:val="single" w:color="000000" w:sz="4" w:space="0"/>
              <w:left w:val="single" w:color="000000" w:sz="4" w:space="0"/>
              <w:bottom w:val="single" w:color="000000" w:sz="4" w:space="0"/>
              <w:right w:val="single" w:color="000000" w:sz="4" w:space="0"/>
            </w:tcBorders>
          </w:tcPr>
          <w:p>
            <w:pPr>
              <w:jc w:val="center"/>
              <w:rPr>
                <w:rFonts w:hint="eastAsia" w:ascii="楷体" w:hAnsi="楷体" w:eastAsia="楷体" w:cs="楷体"/>
                <w:sz w:val="22"/>
              </w:rPr>
            </w:pPr>
            <w:r>
              <w:rPr>
                <w:rFonts w:hint="eastAsia" w:ascii="楷体" w:hAnsi="楷体" w:eastAsia="楷体" w:cs="楷体"/>
                <w:sz w:val="22"/>
              </w:rPr>
              <w:t>1,170,687,912.43</w:t>
            </w:r>
          </w:p>
        </w:tc>
      </w:tr>
      <w:tr>
        <w:tblPrEx>
          <w:tblCellMar>
            <w:top w:w="0" w:type="dxa"/>
            <w:left w:w="108" w:type="dxa"/>
            <w:bottom w:w="0" w:type="dxa"/>
            <w:right w:w="108" w:type="dxa"/>
          </w:tblCellMar>
        </w:tblPrEx>
        <w:trPr>
          <w:trHeight w:val="320" w:hRule="atLeast"/>
        </w:trPr>
        <w:tc>
          <w:tcPr>
            <w:tcW w:w="2798" w:type="dxa"/>
            <w:tcBorders>
              <w:top w:val="single" w:color="000000" w:sz="4" w:space="0"/>
              <w:left w:val="single" w:color="000000" w:sz="4" w:space="0"/>
              <w:bottom w:val="single" w:color="000000" w:sz="4" w:space="0"/>
              <w:right w:val="single" w:color="000000" w:sz="4" w:space="0"/>
            </w:tcBorders>
          </w:tcPr>
          <w:p>
            <w:pPr>
              <w:pageBreakBefore w:val="0"/>
              <w:jc w:val="center"/>
              <w:textAlignment w:val="auto"/>
            </w:pPr>
            <w:r>
              <w:rPr>
                <w:rFonts w:ascii="楷体" w:hAnsi="楷体" w:eastAsia="楷体" w:cs="楷体"/>
                <w:b w:val="0"/>
                <w:i w:val="0"/>
                <w:strike w:val="0"/>
                <w:color w:val="auto"/>
                <w:position w:val="-1"/>
                <w:sz w:val="22"/>
                <w:u w:val="none"/>
              </w:rPr>
              <w:t>2025-03-31</w:t>
            </w:r>
          </w:p>
        </w:tc>
        <w:tc>
          <w:tcPr>
            <w:tcW w:w="4507" w:type="dxa"/>
            <w:tcBorders>
              <w:top w:val="single" w:color="000000" w:sz="4" w:space="0"/>
              <w:left w:val="single" w:color="000000" w:sz="4" w:space="0"/>
              <w:bottom w:val="single" w:color="000000" w:sz="4" w:space="0"/>
              <w:right w:val="single" w:color="000000" w:sz="4" w:space="0"/>
            </w:tcBorders>
          </w:tcPr>
          <w:p>
            <w:pPr>
              <w:pageBreakBefore w:val="0"/>
              <w:jc w:val="center"/>
              <w:textAlignment w:val="auto"/>
            </w:pPr>
            <w:r>
              <w:rPr>
                <w:rFonts w:ascii="楷体" w:hAnsi="楷体" w:eastAsia="楷体" w:cs="楷体"/>
                <w:b w:val="0"/>
                <w:i w:val="0"/>
                <w:strike w:val="0"/>
                <w:color w:val="auto"/>
                <w:position w:val="-1"/>
                <w:sz w:val="22"/>
                <w:u w:val="none"/>
              </w:rPr>
              <w:t>1,206,515,425.49</w:t>
            </w:r>
          </w:p>
        </w:tc>
      </w:tr>
    </w:tbl>
    <w:p>
      <w:pPr>
        <w:pStyle w:val="14"/>
        <w:rPr>
          <w:rFonts w:hint="eastAsia" w:ascii="楷体" w:hAnsi="楷体" w:eastAsia="楷体" w:cs="楷体"/>
        </w:rPr>
      </w:pPr>
    </w:p>
    <w:p>
      <w:pPr>
        <w:pStyle w:val="2"/>
        <w:rPr>
          <w:rFonts w:hint="eastAsia" w:ascii="楷体" w:hAnsi="楷体" w:eastAsia="楷体" w:cs="楷体"/>
        </w:rPr>
      </w:pPr>
      <w:r>
        <w:rPr>
          <w:rFonts w:hint="eastAsia" w:ascii="楷体" w:hAnsi="楷体" w:eastAsia="楷体" w:cs="楷体"/>
        </w:rPr>
        <w:t>四.投资运作情况</w:t>
      </w:r>
    </w:p>
    <w:p>
      <w:pPr>
        <w:pStyle w:val="2"/>
        <w:rPr>
          <w:rFonts w:hint="eastAsia" w:ascii="楷体" w:hAnsi="楷体" w:eastAsia="楷体" w:cs="楷体"/>
          <w:b w:val="0"/>
          <w:sz w:val="21"/>
        </w:rPr>
      </w:pPr>
      <w:r>
        <w:rPr>
          <w:rFonts w:hint="eastAsia" w:ascii="楷体" w:hAnsi="楷体" w:eastAsia="楷体" w:cs="楷体"/>
          <w:b w:val="0"/>
          <w:sz w:val="21"/>
        </w:rPr>
        <w:t>1、运作期回顾</w:t>
      </w:r>
    </w:p>
    <w:p>
      <w:pPr>
        <w:pStyle w:val="2"/>
        <w:keepNext w:val="0"/>
        <w:keepLines w:val="0"/>
        <w:pageBreakBefore w:val="0"/>
        <w:widowControl w:val="0"/>
        <w:kinsoku/>
        <w:wordWrap/>
        <w:overflowPunct/>
        <w:topLinePunct w:val="0"/>
        <w:autoSpaceDE w:val="0"/>
        <w:autoSpaceDN w:val="0"/>
        <w:bidi w:val="0"/>
        <w:adjustRightInd w:val="0"/>
        <w:snapToGrid/>
        <w:ind w:left="119" w:firstLine="420" w:firstLineChars="200"/>
        <w:jc w:val="both"/>
        <w:textAlignment w:val="auto"/>
        <w:rPr>
          <w:rFonts w:hint="eastAsia" w:ascii="楷体" w:hAnsi="楷体" w:cs="Times New Roman"/>
          <w:b w:val="0"/>
          <w:sz w:val="21"/>
        </w:rPr>
      </w:pPr>
      <w:r>
        <w:rPr>
          <w:rFonts w:hint="eastAsia" w:ascii="楷体" w:hAnsi="楷体" w:cs="Times New Roman"/>
          <w:b w:val="0"/>
          <w:sz w:val="21"/>
        </w:rPr>
        <w:t>二季度债市在超预期关税驱动下先是急涨，随后进入震荡格局。期间，关税作为宏观层面的主要矛盾，前期债市主要围绕关税谈判本身进行博弈，并在首次谈判促进税率下调后出现回调；后期则主要围绕关税影响寻找方向，即关税客观上导致经济边际走弱和资金面持续宽松，收益率重新向季初低点回落。</w:t>
      </w:r>
    </w:p>
    <w:p>
      <w:pPr>
        <w:pStyle w:val="2"/>
        <w:keepNext w:val="0"/>
        <w:keepLines w:val="0"/>
        <w:pageBreakBefore w:val="0"/>
        <w:widowControl w:val="0"/>
        <w:kinsoku/>
        <w:wordWrap/>
        <w:overflowPunct/>
        <w:topLinePunct w:val="0"/>
        <w:autoSpaceDE w:val="0"/>
        <w:autoSpaceDN w:val="0"/>
        <w:bidi w:val="0"/>
        <w:adjustRightInd w:val="0"/>
        <w:snapToGrid/>
        <w:ind w:left="119" w:firstLine="420" w:firstLineChars="200"/>
        <w:jc w:val="both"/>
        <w:textAlignment w:val="auto"/>
        <w:rPr>
          <w:rFonts w:hint="eastAsia" w:ascii="楷体" w:hAnsi="楷体" w:cs="Times New Roman"/>
          <w:b w:val="0"/>
          <w:sz w:val="21"/>
        </w:rPr>
      </w:pPr>
      <w:r>
        <w:rPr>
          <w:rFonts w:hint="eastAsia" w:ascii="楷体" w:hAnsi="楷体" w:cs="Times New Roman"/>
          <w:b w:val="0"/>
          <w:sz w:val="21"/>
        </w:rPr>
        <w:t>4月初，特朗普政府“对等关税”意外冲击全球市场，关税政策的落地和加税幅度超出市场预期，从风险偏好、基本面以及随之而来的政策应对举措等维度全方面影响债市投资者的预期，10年、30年活跃利率债快速下行接近前低。虽然后续中美在日内瓦、伦敦达成了缓和关税冲突的协定，但利率仅出现短期扰动，并未持续上行、回到或接近关税冲突前的点位。事后看，“对等关税”对债市的影响相对加速了、阶段性加深了此前基于“基本面阶段性压力-狭义流动性趋松”的看多逻辑，因此快速下行后，5-6月无风险收益率逐渐趋于震荡，波动率大幅下降。</w:t>
      </w:r>
    </w:p>
    <w:p>
      <w:pPr>
        <w:pStyle w:val="2"/>
        <w:keepNext w:val="0"/>
        <w:keepLines w:val="0"/>
        <w:pageBreakBefore w:val="0"/>
        <w:widowControl w:val="0"/>
        <w:kinsoku/>
        <w:wordWrap/>
        <w:overflowPunct/>
        <w:topLinePunct w:val="0"/>
        <w:autoSpaceDE w:val="0"/>
        <w:autoSpaceDN w:val="0"/>
        <w:bidi w:val="0"/>
        <w:adjustRightInd w:val="0"/>
        <w:snapToGrid/>
        <w:ind w:left="119" w:firstLine="420" w:firstLineChars="200"/>
        <w:jc w:val="both"/>
        <w:textAlignment w:val="auto"/>
        <w:rPr>
          <w:rFonts w:hint="eastAsia" w:ascii="楷体" w:hAnsi="楷体" w:cs="Times New Roman"/>
          <w:b w:val="0"/>
          <w:sz w:val="21"/>
        </w:rPr>
      </w:pPr>
      <w:r>
        <w:rPr>
          <w:rFonts w:hint="eastAsia" w:ascii="楷体" w:hAnsi="楷体" w:cs="Times New Roman"/>
          <w:b w:val="0"/>
          <w:sz w:val="21"/>
        </w:rPr>
        <w:t>随着资金价格中枢逐步下行，债市对宽松的定价逐步深化，主要体现在：1）信用利差明显压缩，5月12日以来，5年中债隐含评级AA（2）城投债信用利差累计下行超15bp；2）长期信用债活跃度提升、利率新老券利差压缩</w:t>
      </w:r>
      <w:r>
        <w:rPr>
          <w:rFonts w:hint="default" w:ascii="楷体" w:hAnsi="楷体" w:cs="Times New Roman"/>
          <w:b w:val="0"/>
          <w:sz w:val="21"/>
        </w:rPr>
        <w:t>。</w:t>
      </w:r>
    </w:p>
    <w:p>
      <w:pPr>
        <w:pStyle w:val="2"/>
        <w:keepNext w:val="0"/>
        <w:keepLines w:val="0"/>
        <w:pageBreakBefore w:val="0"/>
        <w:widowControl w:val="0"/>
        <w:kinsoku/>
        <w:wordWrap/>
        <w:overflowPunct/>
        <w:topLinePunct w:val="0"/>
        <w:autoSpaceDE w:val="0"/>
        <w:autoSpaceDN w:val="0"/>
        <w:bidi w:val="0"/>
        <w:adjustRightInd w:val="0"/>
        <w:snapToGrid/>
        <w:ind w:left="119" w:firstLine="420" w:firstLineChars="200"/>
        <w:jc w:val="both"/>
        <w:textAlignment w:val="auto"/>
        <w:rPr>
          <w:rFonts w:hint="eastAsia"/>
        </w:rPr>
      </w:pPr>
      <w:r>
        <w:rPr>
          <w:rFonts w:hint="eastAsia" w:ascii="楷体" w:hAnsi="楷体" w:cs="Times New Roman"/>
          <w:b w:val="0"/>
          <w:sz w:val="21"/>
        </w:rPr>
        <w:t>本理财产品以固收类资产为主，主要配置中高等级债券，组合久期适当，兼顾净值稳定与收益进取。</w:t>
      </w:r>
      <w:r>
        <w:rPr>
          <w:rFonts w:hint="eastAsia" w:ascii="楷体" w:hAnsi="楷体" w:cs="Times New Roman"/>
          <w:b w:val="0"/>
          <w:sz w:val="21"/>
          <w:lang w:val="en-US" w:eastAsia="zh-CN"/>
        </w:rPr>
        <w:t>二</w:t>
      </w:r>
      <w:r>
        <w:rPr>
          <w:rFonts w:hint="eastAsia" w:ascii="楷体" w:hAnsi="楷体" w:cs="Times New Roman"/>
          <w:b w:val="0"/>
          <w:sz w:val="21"/>
        </w:rPr>
        <w:t>季度根据信用利差与期限利差变动情况，对信用债进行了灵活调配，积极参与确定性较高的交易机会增厚产品收益。</w:t>
      </w:r>
    </w:p>
    <w:p>
      <w:pPr>
        <w:pStyle w:val="2"/>
        <w:rPr>
          <w:rFonts w:hint="eastAsia" w:ascii="楷体" w:hAnsi="楷体" w:eastAsia="楷体" w:cs="楷体"/>
          <w:b w:val="0"/>
          <w:sz w:val="21"/>
        </w:rPr>
      </w:pPr>
    </w:p>
    <w:p>
      <w:pPr>
        <w:pStyle w:val="2"/>
        <w:rPr>
          <w:rFonts w:hint="eastAsia" w:ascii="楷体" w:hAnsi="楷体" w:eastAsia="楷体" w:cs="楷体"/>
          <w:b w:val="0"/>
          <w:sz w:val="21"/>
        </w:rPr>
      </w:pPr>
      <w:r>
        <w:rPr>
          <w:rFonts w:hint="eastAsia" w:ascii="楷体" w:hAnsi="楷体" w:eastAsia="楷体" w:cs="楷体"/>
          <w:b w:val="0"/>
          <w:sz w:val="21"/>
        </w:rPr>
        <w:t>2、后市展望及下阶段投资策略</w:t>
      </w:r>
    </w:p>
    <w:p>
      <w:pPr>
        <w:pStyle w:val="2"/>
        <w:keepNext w:val="0"/>
        <w:keepLines w:val="0"/>
        <w:pageBreakBefore w:val="0"/>
        <w:widowControl w:val="0"/>
        <w:kinsoku/>
        <w:wordWrap/>
        <w:overflowPunct/>
        <w:topLinePunct w:val="0"/>
        <w:autoSpaceDE w:val="0"/>
        <w:autoSpaceDN w:val="0"/>
        <w:bidi w:val="0"/>
        <w:adjustRightInd w:val="0"/>
        <w:snapToGrid/>
        <w:ind w:left="119" w:firstLine="420" w:firstLineChars="200"/>
        <w:jc w:val="both"/>
        <w:textAlignment w:val="auto"/>
        <w:rPr>
          <w:rFonts w:hint="eastAsia" w:ascii="楷体" w:hAnsi="楷体" w:cs="Times New Roman"/>
          <w:b w:val="0"/>
          <w:sz w:val="21"/>
          <w:lang w:eastAsia="zh-CN"/>
        </w:rPr>
      </w:pPr>
      <w:r>
        <w:rPr>
          <w:rFonts w:hint="eastAsia" w:ascii="楷体" w:hAnsi="楷体" w:cs="Times New Roman"/>
          <w:b w:val="0"/>
          <w:sz w:val="21"/>
        </w:rPr>
        <w:t>未来，根据市场动态变化，控制组合久期处于合理稳健区间。资产配置上兼顾安全性、流动性和收益性，坚守风险合规底线，紧密跟踪市场变化，强化投资研究分析，致力于为广大投资者创造长期稳健的投资回报</w:t>
      </w:r>
      <w:r>
        <w:rPr>
          <w:rFonts w:hint="eastAsia" w:ascii="楷体" w:hAnsi="楷体" w:cs="Times New Roman"/>
          <w:b w:val="0"/>
          <w:sz w:val="21"/>
          <w:lang w:eastAsia="zh-CN"/>
        </w:rPr>
        <w:t>。</w:t>
      </w:r>
    </w:p>
    <w:p>
      <w:pPr>
        <w:pStyle w:val="4"/>
        <w:spacing w:before="0" w:line="240" w:lineRule="auto"/>
        <w:ind w:left="0" w:right="0" w:firstLine="0" w:firstLineChars="0"/>
        <w:jc w:val="both"/>
        <w:rPr>
          <w:rFonts w:hint="eastAsia" w:ascii="楷体" w:hAnsi="楷体" w:eastAsia="楷体" w:cs="楷体"/>
          <w:sz w:val="21"/>
        </w:rPr>
      </w:pPr>
    </w:p>
    <w:p>
      <w:pPr>
        <w:pStyle w:val="2"/>
        <w:rPr>
          <w:rFonts w:hint="eastAsia" w:ascii="楷体" w:hAnsi="楷体" w:eastAsia="楷体" w:cs="楷体"/>
          <w:b w:val="0"/>
          <w:sz w:val="21"/>
        </w:rPr>
      </w:pPr>
      <w:r>
        <w:rPr>
          <w:rFonts w:hint="eastAsia" w:ascii="楷体" w:hAnsi="楷体" w:eastAsia="楷体" w:cs="楷体"/>
          <w:b w:val="0"/>
          <w:sz w:val="21"/>
        </w:rPr>
        <w:t>3、流动性风险分析</w:t>
      </w:r>
    </w:p>
    <w:p>
      <w:pPr>
        <w:ind w:firstLine="420" w:firstLineChars="200"/>
        <w:rPr>
          <w:rFonts w:hint="eastAsia" w:ascii="楷体" w:hAnsi="楷体" w:eastAsia="楷体" w:cs="Times New Roman"/>
          <w:b w:val="0"/>
          <w:bCs/>
          <w:kern w:val="0"/>
          <w:sz w:val="21"/>
          <w:szCs w:val="21"/>
          <w:lang w:val="en-US" w:eastAsia="zh-CN" w:bidi="ar-SA"/>
        </w:rPr>
      </w:pPr>
      <w:r>
        <w:rPr>
          <w:rFonts w:hint="eastAsia" w:ascii="楷体" w:hAnsi="楷体" w:eastAsia="楷体" w:cs="Times New Roman"/>
          <w:b w:val="0"/>
          <w:bCs/>
          <w:kern w:val="0"/>
          <w:sz w:val="21"/>
          <w:szCs w:val="21"/>
          <w:lang w:val="en-US" w:eastAsia="zh-CN" w:bidi="ar-SA"/>
        </w:rPr>
        <w:t>本产品持仓资产以标准化债权类资产为主，变现能力较强，通过组合久期管理、流动性指标监测等多项措施持续加强流动性管理，有效控制产品的流动性风险。</w:t>
      </w:r>
    </w:p>
    <w:p>
      <w:pPr>
        <w:pStyle w:val="4"/>
        <w:spacing w:before="0" w:line="240" w:lineRule="auto"/>
        <w:ind w:left="0" w:right="0" w:firstLine="0" w:firstLineChars="0"/>
        <w:rPr>
          <w:rFonts w:hint="eastAsia" w:ascii="楷体" w:hAnsi="楷体" w:eastAsia="楷体" w:cs="楷体"/>
          <w:sz w:val="21"/>
        </w:rPr>
      </w:pPr>
      <w:bookmarkStart w:id="1" w:name="_GoBack"/>
      <w:bookmarkEnd w:id="1"/>
    </w:p>
    <w:p>
      <w:pPr>
        <w:ind w:firstLine="560" w:firstLineChars="200"/>
        <w:rPr>
          <w:rFonts w:hint="eastAsia" w:ascii="楷体" w:hAnsi="楷体" w:eastAsia="楷体" w:cs="楷体"/>
          <w:bCs/>
          <w:kern w:val="0"/>
          <w:szCs w:val="21"/>
        </w:rPr>
      </w:pPr>
    </w:p>
    <w:p>
      <w:pPr>
        <w:rPr>
          <w:rFonts w:hint="eastAsia" w:ascii="楷体" w:hAnsi="楷体" w:eastAsia="楷体" w:cs="楷体"/>
        </w:rPr>
      </w:pPr>
    </w:p>
    <w:p>
      <w:pPr>
        <w:ind w:firstLine="560" w:firstLineChars="200"/>
        <w:rPr>
          <w:rFonts w:hint="eastAsia" w:ascii="楷体" w:hAnsi="楷体" w:eastAsia="楷体" w:cs="楷体"/>
          <w:bCs/>
          <w:kern w:val="0"/>
          <w:szCs w:val="21"/>
        </w:rPr>
      </w:pPr>
    </w:p>
    <w:p>
      <w:pPr>
        <w:rPr>
          <w:rFonts w:hint="eastAsia" w:ascii="楷体" w:hAnsi="楷体" w:eastAsia="楷体" w:cs="楷体"/>
          <w:sz w:val="21"/>
          <w:szCs w:val="21"/>
        </w:rPr>
      </w:pPr>
    </w:p>
    <w:p>
      <w:pPr>
        <w:jc w:val="right"/>
        <w:rPr>
          <w:rFonts w:hint="eastAsia" w:ascii="楷体" w:hAnsi="楷体" w:eastAsia="楷体" w:cs="楷体"/>
          <w:sz w:val="21"/>
          <w:szCs w:val="21"/>
        </w:rPr>
      </w:pPr>
      <w:r>
        <w:rPr>
          <w:rFonts w:hint="eastAsia" w:ascii="楷体" w:hAnsi="楷体" w:eastAsia="楷体" w:cs="楷体"/>
          <w:b/>
          <w:sz w:val="21"/>
          <w:szCs w:val="21"/>
        </w:rPr>
        <w:t>苏银理财有限责任公司</w:t>
      </w:r>
    </w:p>
    <w:p>
      <w:pPr>
        <w:ind w:firstLine="630" w:firstLineChars="300"/>
        <w:jc w:val="right"/>
        <w:rPr>
          <w:rFonts w:hint="eastAsia" w:ascii="楷体" w:hAnsi="楷体" w:eastAsia="楷体" w:cs="楷体"/>
          <w:sz w:val="21"/>
          <w:szCs w:val="21"/>
        </w:rPr>
      </w:pPr>
      <w:r>
        <w:rPr>
          <w:rFonts w:hint="eastAsia" w:ascii="楷体" w:hAnsi="楷体" w:eastAsia="楷体" w:cs="楷体"/>
          <w:sz w:val="21"/>
          <w:szCs w:val="21"/>
        </w:rPr>
        <w:t>2025年06月30日</w:t>
      </w:r>
    </w:p>
    <w:p>
      <w:pPr>
        <w:rPr>
          <w:rFonts w:hint="eastAsia" w:ascii="楷体" w:hAnsi="楷体" w:eastAsia="楷体" w:cs="楷体"/>
          <w:sz w:val="21"/>
          <w:szCs w:val="21"/>
        </w:rPr>
      </w:pPr>
    </w:p>
    <w:p>
      <w:pPr>
        <w:rPr>
          <w:rFonts w:hint="eastAsia" w:ascii="楷体" w:hAnsi="楷体" w:eastAsia="楷体" w:cs="楷体"/>
          <w:sz w:val="21"/>
          <w:szCs w:val="21"/>
        </w:rPr>
      </w:pPr>
      <w:r>
        <w:rPr>
          <w:rFonts w:hint="eastAsia" w:ascii="楷体" w:hAnsi="楷体" w:eastAsia="楷体" w:cs="楷体"/>
          <w:sz w:val="21"/>
          <w:szCs w:val="21"/>
        </w:rPr>
        <w:t>备注：本次披露内容解释权归苏银理财所有，不构成任何形式的法律要约或承诺。</w:t>
      </w:r>
    </w:p>
    <w:sectPr>
      <w:headerReference r:id="rId5" w:type="first"/>
      <w:headerReference r:id="rId3" w:type="default"/>
      <w:footerReference r:id="rId6" w:type="default"/>
      <w:headerReference r:id="rId4" w:type="even"/>
      <w:pgSz w:w="11906" w:h="16838"/>
      <w:pgMar w:top="1440" w:right="1800" w:bottom="1440" w:left="170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
    <w:panose1 w:val="02010609060101010101"/>
    <w:charset w:val="86"/>
    <w:family w:val="auto"/>
    <w:pitch w:val="default"/>
    <w:sig w:usb0="800002BF" w:usb1="38CF7CFA" w:usb2="00000016" w:usb3="00000000" w:csb0="00040001" w:csb1="00000000"/>
  </w:font>
  <w:font w:name="等线">
    <w:panose1 w:val="02010600030101010101"/>
    <w:charset w:val="86"/>
    <w:family w:val="auto"/>
    <w:pitch w:val="default"/>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center"/>
    </w:pPr>
    <w:r>
      <w:rPr>
        <w:lang w:val="zh-CN"/>
      </w:rPr>
      <w:t xml:space="preserve"> </w:t>
    </w:r>
    <w:r>
      <w:rPr>
        <w:b/>
        <w:bCs/>
      </w:rPr>
      <w:fldChar w:fldCharType="begin"/>
    </w:r>
    <w:r>
      <w:rPr>
        <w:b/>
        <w:bCs/>
      </w:rPr>
      <w:instrText xml:space="preserve">PAGE</w:instrText>
    </w:r>
    <w:r>
      <w:rPr>
        <w:b/>
        <w:bCs/>
        <w:sz w:val="24"/>
        <w:szCs w:val="24"/>
      </w:rPr>
      <w:fldChar w:fldCharType="separate"/>
    </w:r>
    <w:r>
      <w:rPr>
        <w:b/>
        <w:bCs/>
      </w:rPr>
      <w:t>2</w:t>
    </w:r>
    <w:r>
      <w:rPr>
        <w:b/>
        <w:bCs/>
        <w:sz w:val="24"/>
        <w:szCs w:val="24"/>
      </w:rPr>
      <w:fldChar w:fldCharType="end"/>
    </w:r>
    <w:r>
      <w:rPr>
        <w:lang w:val="zh-CN"/>
      </w:rPr>
      <w:t xml:space="preserve"> / </w:t>
    </w:r>
    <w:r>
      <w:rPr>
        <w:b/>
        <w:bCs/>
      </w:rPr>
      <w:fldChar w:fldCharType="begin"/>
    </w:r>
    <w:r>
      <w:rPr>
        <w:b/>
        <w:bCs/>
      </w:rPr>
      <w:instrText xml:space="preserve">NUMPAGES</w:instrText>
    </w:r>
    <w:r>
      <w:rPr>
        <w:b/>
        <w:bCs/>
        <w:sz w:val="24"/>
        <w:szCs w:val="24"/>
      </w:rPr>
      <w:fldChar w:fldCharType="separate"/>
    </w:r>
    <w:r>
      <w:rPr>
        <w:b/>
        <w:bCs/>
      </w:rPr>
      <w:t>4</w:t>
    </w:r>
    <w:r>
      <w:rPr>
        <w:b/>
        <w:bCs/>
        <w:sz w:val="24"/>
        <w:szCs w:val="24"/>
      </w:rPr>
      <w:fldChar w:fldCharType="end"/>
    </w:r>
  </w:p>
  <w:p>
    <w:pPr>
      <w:pStyle w:val="6"/>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kinsoku w:val="0"/>
      <w:overflowPunct w:val="0"/>
      <w:spacing w:before="0" w:line="320" w:lineRule="exact"/>
      <w:ind w:left="20"/>
      <w:jc w:val="both"/>
      <w:rPr>
        <w:rFonts w:ascii="楷体" w:hAnsi="楷体" w:eastAsia="楷体" w:cs="黑体"/>
        <w:b/>
        <w:spacing w:val="-2"/>
        <w:sz w:val="24"/>
        <w:szCs w:val="24"/>
      </w:rPr>
    </w:pPr>
    <w:r>
      <w:pict>
        <v:shape id="WordPictureWatermark1026" o:spid="_x0000_s2050" o:spt="75" type="#_x0000_t75" style="position:absolute;left:0pt;height:862.85pt;width:1137.35pt;mso-position-horizontal:center;mso-position-horizontal-relative:margin;mso-position-vertical:center;mso-position-vertical-relative:margin;z-index:-251655168;mso-width-relative:page;mso-height-relative:page;" filled="f" o:preferrelative="t" stroked="f" coordsize="21600,21600" o:allowincell="f">
          <v:path/>
          <v:fill on="f" focussize="0,0"/>
          <v:stroke on="f" joinstyle="miter"/>
          <v:imagedata r:id="rId1" gain="19661f" blacklevel="22938f" o:title="苏银理财"/>
          <o:lock v:ext="edit" aspectratio="t"/>
        </v:shape>
      </w:pict>
    </w:r>
    <w:r>
      <w:pict>
        <v:shape id="图片 1" o:spid="_x0000_s2051" o:spt="75" type="#_x0000_t75" style="position:absolute;left:0pt;margin-left:308.95pt;margin-top:-7.5pt;height:33.45pt;width:104.35pt;mso-wrap-distance-bottom:0pt;mso-wrap-distance-left:9pt;mso-wrap-distance-right:9pt;mso-wrap-distance-top:0pt;z-index:251662336;mso-width-relative:page;mso-height-relative:page;" filled="f" o:preferrelative="t" stroked="f" coordsize="21600,21600">
          <v:path/>
          <v:fill on="f" focussize="0,0"/>
          <v:stroke on="f" joinstyle="miter"/>
          <v:imagedata r:id="rId2" o:title=""/>
          <o:lock v:ext="edit" aspectratio="t"/>
          <w10:wrap type="square"/>
        </v:shape>
      </w:pict>
    </w:r>
    <w:r>
      <w:rPr>
        <w:rFonts w:hint="eastAsia" w:ascii="楷体" w:hAnsi="楷体" w:eastAsia="楷体" w:cs="黑体"/>
        <w:b/>
        <w:bCs/>
        <w:spacing w:val="-2"/>
        <w:sz w:val="24"/>
        <w:szCs w:val="24"/>
      </w:rPr>
      <w:t>理财非存款、产品有风险、投资须谨慎</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pict>
        <v:shape id="WordPictureWatermark1025" o:spid="_x0000_s2049" o:spt="75" type="#_x0000_t75" style="position:absolute;left:0pt;height:862.85pt;width:1137.35pt;mso-position-horizontal:center;mso-position-horizontal-relative:margin;mso-position-vertical:center;mso-position-vertical-relative:margin;z-index:-251656192;mso-width-relative:page;mso-height-relative:page;" filled="f" o:preferrelative="t" stroked="f" coordsize="21600,21600" o:allowincell="f">
          <v:path/>
          <v:fill on="f" focussize="0,0"/>
          <v:stroke on="f" joinstyle="miter"/>
          <v:imagedata r:id="rId1" gain="19661f" blacklevel="22938f" o:title="苏银理财"/>
          <o:lock v:ext="edit" aspectratio="t"/>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pict>
        <v:shape id="WordPictureWatermark1027" o:spid="_x0000_s2052" o:spt="75" type="#_x0000_t75" style="position:absolute;left:0pt;height:862.85pt;width:1137.35pt;mso-position-horizontal:center;mso-position-horizontal-relative:margin;mso-position-vertical:center;mso-position-vertical-relative:margin;z-index:-251657216;mso-width-relative:page;mso-height-relative:page;" filled="f" o:preferrelative="t" stroked="f" coordsize="21600,21600" o:allowincell="f">
          <v:path/>
          <v:fill on="f" focussize="0,0"/>
          <v:stroke on="f" joinstyle="miter"/>
          <v:imagedata r:id="rId1" gain="19661f" blacklevel="22938f" o:title="苏银理财"/>
          <o:lock v:ext="edit" aspectratio="t"/>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362769C"/>
    <w:multiLevelType w:val="singleLevel"/>
    <w:tmpl w:val="A362769C"/>
    <w:lvl w:ilvl="0" w:tentative="0">
      <w:start w:val="3"/>
      <w:numFmt w:val="chineseCounting"/>
      <w:suff w:val="nothing"/>
      <w:lvlText w:val="（%1）"/>
      <w:lvlJc w:val="left"/>
      <w:rPr>
        <w:rFonts w:hint="eastAsia"/>
      </w:rPr>
    </w:lvl>
  </w:abstractNum>
  <w:abstractNum w:abstractNumId="1">
    <w:nsid w:val="F8949042"/>
    <w:multiLevelType w:val="singleLevel"/>
    <w:tmpl w:val="F8949042"/>
    <w:lvl w:ilvl="0" w:tentative="0">
      <w:start w:val="3"/>
      <w:numFmt w:val="decimal"/>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NotTrackMoves/>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Setting w:name="compatibilityMode" w:uri="http://schemas.microsoft.com/office/word" w:val="12"/>
  </w:compat>
  <w:docVars>
    <w:docVar w:name="commondata" w:val="eyJoZGlkIjoiM2Q0YzJjZmYwZmM4YTNhMDViNTkyMTNhM2QwMmM4NjgifQ=="/>
  </w:docVars>
  <w:rsids>
    <w:rsidRoot w:val="00000000"/>
    <w:rsid w:val="00420E85"/>
  </w:rsids>
  <m:mathPr>
    <m:mathFont m:val="Cambria Math"/>
    <m:brkBin m:val="before"/>
    <m:brkBinSub m:val="--"/>
    <m:smallFrac m:val="0"/>
    <m:dispDef/>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Arial" w:hAnsi="Arial" w:eastAsiaTheme="minorEastAsia" w:cs="Arial"/>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nhideWhenUsed="0" w:uiPriority="1"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qFormat="1" w:uiPriority="99" w:semiHidden="0" w:name="annotation text"/>
    <w:lsdException w:qFormat="1" w:uiPriority="99" w:semiHidden="0" w:name="header"/>
    <w:lsdException w:qFormat="1" w:uiPriority="99"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qFormat="1" w:uiPriority="99"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qFormat="1" w:uiPriority="1" w:name="Default Paragraph Font"/>
    <w:lsdException w:qFormat="1" w:unhideWhenUsed="0" w:uiPriority="1" w:semiHidden="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99"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qFormat="1" w:uiPriority="99"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99"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iPriority="99" w:semiHidden="0" w:name="Balloon Text"/>
    <w:lsdException w:qFormat="1" w:unhideWhenUsed="0" w:uiPriority="3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宋体" w:hAnsi="宋体" w:eastAsia="宋体" w:cs="宋体"/>
      <w:kern w:val="2"/>
      <w:sz w:val="28"/>
      <w:szCs w:val="22"/>
      <w:lang w:val="en-US" w:eastAsia="zh-CN" w:bidi="ar-SA"/>
    </w:rPr>
  </w:style>
  <w:style w:type="paragraph" w:styleId="2">
    <w:name w:val="heading 3"/>
    <w:basedOn w:val="1"/>
    <w:next w:val="1"/>
    <w:link w:val="23"/>
    <w:qFormat/>
    <w:uiPriority w:val="1"/>
    <w:pPr>
      <w:autoSpaceDE w:val="0"/>
      <w:autoSpaceDN w:val="0"/>
      <w:adjustRightInd w:val="0"/>
      <w:spacing w:before="34"/>
      <w:ind w:left="120"/>
      <w:jc w:val="left"/>
      <w:outlineLvl w:val="2"/>
    </w:pPr>
    <w:rPr>
      <w:rFonts w:ascii="宋体" w:hAnsi="Times New Roman" w:eastAsia="楷体"/>
      <w:b/>
      <w:bCs/>
      <w:kern w:val="0"/>
      <w:sz w:val="24"/>
      <w:szCs w:val="21"/>
    </w:rPr>
  </w:style>
  <w:style w:type="character" w:default="1" w:styleId="11">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unhideWhenUsed/>
    <w:qFormat/>
    <w:uiPriority w:val="99"/>
    <w:pPr>
      <w:jc w:val="left"/>
    </w:pPr>
  </w:style>
  <w:style w:type="paragraph" w:styleId="4">
    <w:name w:val="Body Text"/>
    <w:basedOn w:val="1"/>
    <w:qFormat/>
    <w:uiPriority w:val="1"/>
    <w:pPr>
      <w:autoSpaceDE w:val="0"/>
      <w:autoSpaceDN w:val="0"/>
      <w:adjustRightInd w:val="0"/>
      <w:spacing w:before="162"/>
      <w:ind w:left="120"/>
      <w:jc w:val="left"/>
    </w:pPr>
    <w:rPr>
      <w:rFonts w:ascii="宋体" w:hAnsi="Times New Roman" w:eastAsia="宋体" w:cs="宋体"/>
      <w:kern w:val="0"/>
      <w:sz w:val="20"/>
      <w:szCs w:val="21"/>
    </w:rPr>
  </w:style>
  <w:style w:type="paragraph" w:styleId="5">
    <w:name w:val="Balloon Text"/>
    <w:basedOn w:val="1"/>
    <w:unhideWhenUsed/>
    <w:qFormat/>
    <w:uiPriority w:val="99"/>
    <w:rPr>
      <w:sz w:val="18"/>
      <w:szCs w:val="18"/>
    </w:rPr>
  </w:style>
  <w:style w:type="paragraph" w:styleId="6">
    <w:name w:val="footer"/>
    <w:basedOn w:val="1"/>
    <w:unhideWhenUsed/>
    <w:qFormat/>
    <w:uiPriority w:val="99"/>
    <w:pPr>
      <w:tabs>
        <w:tab w:val="center" w:pos="4153"/>
        <w:tab w:val="right" w:pos="8306"/>
      </w:tabs>
      <w:snapToGrid w:val="0"/>
      <w:jc w:val="left"/>
    </w:pPr>
    <w:rPr>
      <w:sz w:val="18"/>
      <w:szCs w:val="18"/>
    </w:rPr>
  </w:style>
  <w:style w:type="paragraph" w:styleId="7">
    <w:name w:val="header"/>
    <w:basedOn w:val="1"/>
    <w:unhideWhenUsed/>
    <w:qFormat/>
    <w:uiPriority w:val="99"/>
    <w:pPr>
      <w:pBdr>
        <w:bottom w:val="single" w:color="auto" w:sz="6" w:space="1"/>
      </w:pBdr>
      <w:tabs>
        <w:tab w:val="center" w:pos="4153"/>
        <w:tab w:val="right" w:pos="8306"/>
      </w:tabs>
      <w:snapToGrid w:val="0"/>
      <w:jc w:val="center"/>
    </w:pPr>
    <w:rPr>
      <w:sz w:val="18"/>
      <w:szCs w:val="18"/>
    </w:rPr>
  </w:style>
  <w:style w:type="paragraph" w:styleId="8">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table" w:styleId="10">
    <w:name w:val="Table Grid"/>
    <w:basedOn w:val="9"/>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2">
    <w:name w:val="annotation reference"/>
    <w:unhideWhenUsed/>
    <w:qFormat/>
    <w:uiPriority w:val="99"/>
    <w:rPr>
      <w:sz w:val="21"/>
      <w:szCs w:val="21"/>
    </w:rPr>
  </w:style>
  <w:style w:type="paragraph" w:customStyle="1" w:styleId="13">
    <w:name w:val="无间隔1"/>
    <w:qFormat/>
    <w:uiPriority w:val="1"/>
    <w:pPr>
      <w:widowControl w:val="0"/>
      <w:jc w:val="both"/>
    </w:pPr>
    <w:rPr>
      <w:rFonts w:ascii="等线" w:hAnsi="等线" w:eastAsia="等线" w:cs="Times New Roman"/>
      <w:kern w:val="2"/>
      <w:sz w:val="21"/>
      <w:szCs w:val="22"/>
      <w:lang w:val="en-US" w:eastAsia="zh-CN" w:bidi="ar-SA"/>
    </w:rPr>
  </w:style>
  <w:style w:type="paragraph" w:customStyle="1" w:styleId="14">
    <w:name w:val="标题4"/>
    <w:basedOn w:val="1"/>
    <w:qFormat/>
    <w:uiPriority w:val="0"/>
    <w:rPr>
      <w:rFonts w:eastAsia="楷体"/>
    </w:rPr>
  </w:style>
  <w:style w:type="character" w:customStyle="1" w:styleId="15">
    <w:name w:val="页眉 字符"/>
    <w:qFormat/>
    <w:uiPriority w:val="99"/>
    <w:rPr>
      <w:sz w:val="18"/>
      <w:szCs w:val="18"/>
    </w:rPr>
  </w:style>
  <w:style w:type="character" w:customStyle="1" w:styleId="16">
    <w:name w:val="页脚 字符"/>
    <w:qFormat/>
    <w:uiPriority w:val="99"/>
    <w:rPr>
      <w:sz w:val="18"/>
      <w:szCs w:val="18"/>
    </w:rPr>
  </w:style>
  <w:style w:type="character" w:customStyle="1" w:styleId="17">
    <w:name w:val="正文文本 字符1"/>
    <w:qFormat/>
    <w:uiPriority w:val="1"/>
    <w:rPr>
      <w:rFonts w:ascii="宋体" w:hAnsi="Times New Roman" w:eastAsia="宋体" w:cs="宋体"/>
      <w:szCs w:val="21"/>
    </w:rPr>
  </w:style>
  <w:style w:type="character" w:customStyle="1" w:styleId="18">
    <w:name w:val="正文文本 字符"/>
    <w:semiHidden/>
    <w:qFormat/>
    <w:uiPriority w:val="99"/>
    <w:rPr>
      <w:kern w:val="2"/>
      <w:sz w:val="21"/>
      <w:szCs w:val="22"/>
    </w:rPr>
  </w:style>
  <w:style w:type="character" w:customStyle="1" w:styleId="19">
    <w:name w:val="批注文字 字符1"/>
    <w:qFormat/>
    <w:uiPriority w:val="99"/>
    <w:rPr>
      <w:kern w:val="2"/>
      <w:sz w:val="21"/>
      <w:szCs w:val="22"/>
    </w:rPr>
  </w:style>
  <w:style w:type="character" w:customStyle="1" w:styleId="20">
    <w:name w:val="批注文字 字符"/>
    <w:semiHidden/>
    <w:qFormat/>
    <w:uiPriority w:val="99"/>
    <w:rPr>
      <w:kern w:val="2"/>
      <w:sz w:val="21"/>
      <w:szCs w:val="22"/>
    </w:rPr>
  </w:style>
  <w:style w:type="character" w:customStyle="1" w:styleId="21">
    <w:name w:val="批注框文本 字符"/>
    <w:semiHidden/>
    <w:qFormat/>
    <w:uiPriority w:val="99"/>
    <w:rPr>
      <w:kern w:val="2"/>
      <w:sz w:val="18"/>
      <w:szCs w:val="18"/>
    </w:rPr>
  </w:style>
  <w:style w:type="character" w:customStyle="1" w:styleId="22">
    <w:name w:val="标题 3 字符"/>
    <w:semiHidden/>
    <w:qFormat/>
    <w:uiPriority w:val="9"/>
    <w:rPr>
      <w:b/>
      <w:bCs/>
      <w:kern w:val="2"/>
      <w:sz w:val="32"/>
      <w:szCs w:val="32"/>
    </w:rPr>
  </w:style>
  <w:style w:type="character" w:customStyle="1" w:styleId="23">
    <w:name w:val="标题 3 字符1"/>
    <w:link w:val="2"/>
    <w:qFormat/>
    <w:uiPriority w:val="1"/>
    <w:rPr>
      <w:rFonts w:ascii="宋体" w:hAnsi="Times New Roman" w:eastAsia="楷体"/>
      <w:b/>
      <w:bCs/>
      <w:sz w:val="24"/>
      <w:szCs w:val="21"/>
    </w:rPr>
  </w:style>
  <w:style w:type="character" w:customStyle="1" w:styleId="24">
    <w:name w:val="标题4 字符"/>
    <w:qFormat/>
    <w:uiPriority w:val="0"/>
    <w:rPr>
      <w:rFonts w:eastAsia="楷体"/>
      <w:kern w:val="2"/>
      <w:sz w:val="21"/>
      <w:szCs w:val="22"/>
    </w:rPr>
  </w:style>
  <w:style w:type="paragraph" w:customStyle="1" w:styleId="25">
    <w:name w:val="Table Text"/>
    <w:basedOn w:val="1"/>
    <w:semiHidden/>
    <w:qFormat/>
    <w:uiPriority w:val="0"/>
    <w:rPr>
      <w:rFonts w:ascii="楷体" w:hAnsi="楷体" w:eastAsia="楷体" w:cs="楷体"/>
      <w:sz w:val="22"/>
    </w:rPr>
  </w:style>
  <w:style w:type="table" w:customStyle="1" w:styleId="26">
    <w:name w:val="Table Normal"/>
    <w:semiHidden/>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customXml" Target="../customXml/item4.xml"/><Relationship Id="rId11" Type="http://schemas.openxmlformats.org/officeDocument/2006/relationships/customXml" Target="../customXml/item3.xml"/><Relationship Id="rId10" Type="http://schemas.openxmlformats.org/officeDocument/2006/relationships/customXml" Target="../customXml/item2.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s:customData xmlns="http://www.wps.cn/officeDocument/2013/wpsCustomData" xmlns:s="http://www.wps.cn/officeDocument/2013/wpsCustomData">
  <customSectProps>
    <customSectPr/>
  </customSectProps>
  <customShpExts>
    <customShpInfo spid="_x0000_s2050"/>
    <customShpInfo spid="_x0000_s2051"/>
    <customShpInfo spid="_x0000_s2049"/>
    <customShpInfo spid="_x0000_s2052"/>
  </customShpExts>
</s:customData>
</file>

<file path=customXml/item2.xml><?xml version="1.0" encoding="utf-8"?>
<Properties xmlns="http://schemas.openxmlformats.org/officeDocument/2006/custom-properties" xmlns:vt="http://schemas.openxmlformats.org/officeDocument/2006/docPropsVTypes">
  <property fmtid="{D5CDD505-2E9C-101B-9397-08002B2CF9AE}" pid="2" name="KSOProductBuildVer">
    <vt:lpwstr>2052-11.8.2.11734</vt:lpwstr>
  </property>
  <property fmtid="{D5CDD505-2E9C-101B-9397-08002B2CF9AE}" pid="3" name="ICV">
    <vt:lpwstr>31802637FF8E4298AD1DCE61A946E12D</vt:lpwstr>
  </property>
</Properties>
</file>

<file path=customXml/item3.xml><?xml version="1.0" encoding="utf-8"?>
<Properties xmlns="http://schemas.openxmlformats.org/officeDocument/2006/extended-properties" xmlns:vt="http://schemas.openxmlformats.org/officeDocument/2006/docPropsVTypes">
  <Template>Normal.dotm</Template>
  <Company>WORKGROUP</Company>
  <Pages>4</Pages>
  <Words>419</Words>
  <Characters>2389</Characters>
  <Lines>19</Lines>
  <Paragraphs>5</Paragraphs>
  <TotalTime>2</TotalTime>
  <ScaleCrop>false</ScaleCrop>
  <LinksUpToDate>false</LinksUpToDate>
  <CharactersWithSpaces>2803</CharactersWithSpaces>
  <Application>WPS Office_11.8.2.11734_F1E327BC-269C-435d-A152-05C5408002CA</Application>
  <DocSecurity>0</DocSecurity>
</Properties>
</file>

<file path=customXml/item4.xml><?xml version="1.0" encoding="utf-8"?>
<cp:coreProperties xmlns:cp="http://schemas.openxmlformats.org/package/2006/metadata/core-properties" xmlns:dc="http://purl.org/dc/elements/1.1/" xmlns:dcterms="http://purl.org/dc/terms/" xmlns:xsi="http://www.w3.org/2001/XMLSchema-instance">
  <dcterms:created xsi:type="dcterms:W3CDTF">2021-11-18T10:04:00Z</dcterms:created>
  <dc:creator>User</dc:creator>
  <cp:lastModifiedBy>User</cp:lastModifiedBy>
  <dcterms:modified xsi:type="dcterms:W3CDTF">2025-07-14T12:13:26Z</dcterms:modified>
  <cp:revision>22</cp:revision>
  <dc:title>“${prdInfo.PRD_NAME}”理财产品</dc:title>
</cp:coreProperties>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18b09b0c-aaf6-442e-829d-2b2f23b42384}">
  <ds:schemaRefs/>
</ds:datastoreItem>
</file>

<file path=customXml/itemProps3.xml><?xml version="1.0" encoding="utf-8"?>
<ds:datastoreItem xmlns:ds="http://schemas.openxmlformats.org/officeDocument/2006/customXml" ds:itemID="{87bc9e97-00ac-47cc-999d-89edb44df2df}">
  <ds:schemaRefs/>
</ds:datastoreItem>
</file>

<file path=customXml/itemProps4.xml><?xml version="1.0" encoding="utf-8"?>
<ds:datastoreItem xmlns:ds="http://schemas.openxmlformats.org/officeDocument/2006/customXml" ds:itemID="{f03afee0-2f68-4c11-ad22-49b047eb75e6}">
  <ds:schemaRefs/>
</ds:datastoreItem>
</file>

<file path=docProps/app.xml><?xml version="1.0" encoding="utf-8"?>
<Properties xmlns="http://schemas.openxmlformats.org/officeDocument/2006/extended-properties" xmlns:vt="http://schemas.openxmlformats.org/officeDocument/2006/docPropsVTypes">
  <Template>Normal.dotm</Template>
  <Company>WORKGROUP</Company>
  <Pages>4</Pages>
  <Words>419</Words>
  <Characters>2389</Characters>
  <Lines>19</Lines>
  <Paragraphs>5</Paragraphs>
  <TotalTime>0</TotalTime>
  <ScaleCrop>false</ScaleCrop>
  <LinksUpToDate>false</LinksUpToDate>
  <CharactersWithSpaces>2803</CharactersWithSpaces>
  <Application>WPS Office_11.8.2.11734_F1E327BC-269C-435d-A152-05C5408002CA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2021-11-18T10:04:00Z</dcterms:created>
  <dc:creator>User</dc:creator>
  <cp:lastModifiedBy>jsyh</cp:lastModifiedBy>
  <dcterms:modified xsi:type="dcterms:W3CDTF">2025-07-15T12:24:01Z</dcterms:modified>
  <dc:title>_x201C__x0024__x007B_prdInfo.PRD_NAME_x007D__x201D_理财产品</dc:title>
  <cp:revision>22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2052-11.8.2.11734</vt:lpwstr>
  </property>
  <property fmtid="{D5CDD505-2E9C-101B-9397-08002B2CF9AE}" pid="3" name="ICV">
    <vt:lpwstr>C7F417030B664E02ADE4AA297ED6EB23</vt:lpwstr>
  </property>
</Properties>
</file>